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0C7C" w14:textId="77777777" w:rsidR="00E33890" w:rsidRDefault="006E2E18">
      <w:pPr>
        <w:spacing w:after="0" w:line="216" w:lineRule="auto"/>
        <w:ind w:left="0" w:right="0" w:firstLine="0"/>
        <w:jc w:val="center"/>
        <w:rPr>
          <w:b/>
          <w:sz w:val="32"/>
          <w:szCs w:val="32"/>
        </w:rPr>
      </w:pPr>
      <w:r>
        <w:rPr>
          <w:noProof/>
        </w:rPr>
        <mc:AlternateContent>
          <mc:Choice Requires="wpg">
            <w:drawing>
              <wp:anchor distT="0" distB="0" distL="114300" distR="114300" simplePos="0" relativeHeight="251658240" behindDoc="0" locked="0" layoutInCell="1" hidden="0" allowOverlap="1" wp14:anchorId="6F9B0CB7" wp14:editId="6F9B0CB8">
                <wp:simplePos x="0" y="0"/>
                <wp:positionH relativeFrom="column">
                  <wp:posOffset>-1079499</wp:posOffset>
                </wp:positionH>
                <wp:positionV relativeFrom="paragraph">
                  <wp:posOffset>-952499</wp:posOffset>
                </wp:positionV>
                <wp:extent cx="7561580" cy="1123950"/>
                <wp:effectExtent l="0" t="0" r="0" b="0"/>
                <wp:wrapNone/>
                <wp:docPr id="15373" name="Group 15373"/>
                <wp:cNvGraphicFramePr/>
                <a:graphic xmlns:a="http://schemas.openxmlformats.org/drawingml/2006/main">
                  <a:graphicData uri="http://schemas.microsoft.com/office/word/2010/wordprocessingGroup">
                    <wpg:wgp>
                      <wpg:cNvGrpSpPr/>
                      <wpg:grpSpPr>
                        <a:xfrm>
                          <a:off x="0" y="0"/>
                          <a:ext cx="7561580" cy="1123950"/>
                          <a:chOff x="1565200" y="3218025"/>
                          <a:chExt cx="7561600" cy="1123950"/>
                        </a:xfrm>
                      </wpg:grpSpPr>
                      <wpg:grpSp>
                        <wpg:cNvPr id="1" name="Group 1"/>
                        <wpg:cNvGrpSpPr/>
                        <wpg:grpSpPr>
                          <a:xfrm>
                            <a:off x="1565210" y="3218025"/>
                            <a:ext cx="7561580" cy="1123950"/>
                            <a:chOff x="0" y="0"/>
                            <a:chExt cx="7561580" cy="1123950"/>
                          </a:xfrm>
                        </wpg:grpSpPr>
                        <wps:wsp>
                          <wps:cNvPr id="2" name="Rectangle 2"/>
                          <wps:cNvSpPr/>
                          <wps:spPr>
                            <a:xfrm>
                              <a:off x="0" y="0"/>
                              <a:ext cx="7561575" cy="1123950"/>
                            </a:xfrm>
                            <a:prstGeom prst="rect">
                              <a:avLst/>
                            </a:prstGeom>
                            <a:noFill/>
                            <a:ln>
                              <a:noFill/>
                            </a:ln>
                          </wps:spPr>
                          <wps:txbx>
                            <w:txbxContent>
                              <w:p w14:paraId="6F9B0CCC" w14:textId="77777777" w:rsidR="00E33890" w:rsidRDefault="00E33890">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0" y="0"/>
                              <a:ext cx="7561580" cy="1123950"/>
                              <a:chOff x="0" y="0"/>
                              <a:chExt cx="7562088" cy="1124222"/>
                            </a:xfrm>
                          </wpg:grpSpPr>
                          <wps:wsp>
                            <wps:cNvPr id="4" name="Freeform: Shape 4"/>
                            <wps:cNvSpPr/>
                            <wps:spPr>
                              <a:xfrm>
                                <a:off x="0" y="0"/>
                                <a:ext cx="7562088" cy="827925"/>
                              </a:xfrm>
                              <a:custGeom>
                                <a:avLst/>
                                <a:gdLst/>
                                <a:ahLst/>
                                <a:cxnLst/>
                                <a:rect l="l" t="t" r="r" b="b"/>
                                <a:pathLst>
                                  <a:path w="7562088" h="827925" extrusionOk="0">
                                    <a:moveTo>
                                      <a:pt x="0" y="0"/>
                                    </a:moveTo>
                                    <a:lnTo>
                                      <a:pt x="7562088" y="0"/>
                                    </a:lnTo>
                                    <a:lnTo>
                                      <a:pt x="7562088" y="827925"/>
                                    </a:lnTo>
                                    <a:lnTo>
                                      <a:pt x="0" y="827925"/>
                                    </a:lnTo>
                                    <a:lnTo>
                                      <a:pt x="0" y="0"/>
                                    </a:lnTo>
                                  </a:path>
                                </a:pathLst>
                              </a:custGeom>
                              <a:solidFill>
                                <a:srgbClr val="2C466A"/>
                              </a:solidFill>
                              <a:ln>
                                <a:noFill/>
                              </a:ln>
                            </wps:spPr>
                            <wps:bodyPr spcFirstLastPara="1" wrap="square" lIns="91425" tIns="91425" rIns="91425" bIns="91425" anchor="ctr" anchorCtr="0">
                              <a:noAutofit/>
                            </wps:bodyPr>
                          </wps:wsp>
                          <wps:wsp>
                            <wps:cNvPr id="5" name="Freeform: Shape 5"/>
                            <wps:cNvSpPr/>
                            <wps:spPr>
                              <a:xfrm>
                                <a:off x="2448999" y="446509"/>
                                <a:ext cx="3598245" cy="258829"/>
                              </a:xfrm>
                              <a:custGeom>
                                <a:avLst/>
                                <a:gdLst/>
                                <a:ahLst/>
                                <a:cxnLst/>
                                <a:rect l="l" t="t" r="r" b="b"/>
                                <a:pathLst>
                                  <a:path w="3598245" h="258829" extrusionOk="0">
                                    <a:moveTo>
                                      <a:pt x="0" y="0"/>
                                    </a:moveTo>
                                    <a:lnTo>
                                      <a:pt x="3598245" y="0"/>
                                    </a:lnTo>
                                    <a:lnTo>
                                      <a:pt x="3598245" y="258829"/>
                                    </a:lnTo>
                                    <a:lnTo>
                                      <a:pt x="0" y="258829"/>
                                    </a:lnTo>
                                    <a:lnTo>
                                      <a:pt x="0" y="0"/>
                                    </a:lnTo>
                                  </a:path>
                                </a:pathLst>
                              </a:custGeom>
                              <a:solidFill>
                                <a:srgbClr val="2C466A"/>
                              </a:solidFill>
                              <a:ln>
                                <a:noFill/>
                              </a:ln>
                            </wps:spPr>
                            <wps:bodyPr spcFirstLastPara="1" wrap="square" lIns="91425" tIns="91425" rIns="91425" bIns="91425" anchor="ctr" anchorCtr="0">
                              <a:noAutofit/>
                            </wps:bodyPr>
                          </wps:wsp>
                          <wps:wsp>
                            <wps:cNvPr id="6" name="Rectangle 6"/>
                            <wps:cNvSpPr/>
                            <wps:spPr>
                              <a:xfrm>
                                <a:off x="990667" y="124418"/>
                                <a:ext cx="6147315" cy="713985"/>
                              </a:xfrm>
                              <a:prstGeom prst="rect">
                                <a:avLst/>
                              </a:prstGeom>
                              <a:noFill/>
                              <a:ln>
                                <a:noFill/>
                              </a:ln>
                            </wps:spPr>
                            <wps:txbx>
                              <w:txbxContent>
                                <w:p w14:paraId="6F9B0CCD" w14:textId="77777777" w:rsidR="00E33890" w:rsidRDefault="006E2E18">
                                  <w:pPr>
                                    <w:spacing w:after="0" w:line="240" w:lineRule="auto"/>
                                    <w:ind w:left="0" w:right="0" w:firstLine="0"/>
                                    <w:jc w:val="left"/>
                                    <w:textDirection w:val="btLr"/>
                                  </w:pPr>
                                  <w:r>
                                    <w:rPr>
                                      <w:b/>
                                      <w:i/>
                                      <w:color w:val="FFFFFF"/>
                                      <w:sz w:val="39"/>
                                    </w:rPr>
                                    <w:t>3</w:t>
                                  </w:r>
                                  <w:r>
                                    <w:rPr>
                                      <w:b/>
                                      <w:i/>
                                      <w:color w:val="FFFFFF"/>
                                      <w:sz w:val="39"/>
                                      <w:vertAlign w:val="superscript"/>
                                    </w:rPr>
                                    <w:t>rd</w:t>
                                  </w:r>
                                  <w:r>
                                    <w:rPr>
                                      <w:b/>
                                      <w:i/>
                                      <w:color w:val="FFFFFF"/>
                                      <w:sz w:val="39"/>
                                    </w:rPr>
                                    <w:t xml:space="preserve"> </w:t>
                                  </w:r>
                                  <w:proofErr w:type="spellStart"/>
                                  <w:r>
                                    <w:rPr>
                                      <w:b/>
                                      <w:i/>
                                      <w:color w:val="FFFFFF"/>
                                      <w:sz w:val="39"/>
                                    </w:rPr>
                                    <w:t>Malikussaleh</w:t>
                                  </w:r>
                                  <w:proofErr w:type="spellEnd"/>
                                  <w:r>
                                    <w:rPr>
                                      <w:b/>
                                      <w:i/>
                                      <w:color w:val="FFFFFF"/>
                                      <w:sz w:val="39"/>
                                    </w:rPr>
                                    <w:t xml:space="preserve"> International Conference </w:t>
                                  </w:r>
                                </w:p>
                                <w:p w14:paraId="6F9B0CCE" w14:textId="77777777" w:rsidR="00E33890" w:rsidRDefault="006E2E18">
                                  <w:pPr>
                                    <w:spacing w:after="0" w:line="240" w:lineRule="auto"/>
                                    <w:ind w:left="0" w:right="0" w:firstLine="0"/>
                                    <w:jc w:val="left"/>
                                    <w:textDirection w:val="btLr"/>
                                  </w:pPr>
                                  <w:r>
                                    <w:rPr>
                                      <w:b/>
                                      <w:i/>
                                      <w:color w:val="FFFFFF"/>
                                      <w:sz w:val="39"/>
                                    </w:rPr>
                                    <w:t xml:space="preserve">on </w:t>
                                  </w:r>
                                  <w:proofErr w:type="spellStart"/>
                                  <w:r>
                                    <w:rPr>
                                      <w:b/>
                                      <w:i/>
                                      <w:color w:val="FFFFFF"/>
                                      <w:sz w:val="39"/>
                                    </w:rPr>
                                    <w:t>Multidiciplinary</w:t>
                                  </w:r>
                                  <w:proofErr w:type="spellEnd"/>
                                  <w:r>
                                    <w:rPr>
                                      <w:b/>
                                      <w:i/>
                                      <w:color w:val="FFFFFF"/>
                                      <w:sz w:val="39"/>
                                    </w:rPr>
                                    <w:t xml:space="preserve"> Studies 2022 (3</w:t>
                                  </w:r>
                                  <w:r>
                                    <w:rPr>
                                      <w:b/>
                                      <w:i/>
                                      <w:color w:val="FFFFFF"/>
                                      <w:sz w:val="39"/>
                                      <w:vertAlign w:val="superscript"/>
                                    </w:rPr>
                                    <w:t>rd</w:t>
                                  </w:r>
                                  <w:r>
                                    <w:rPr>
                                      <w:b/>
                                      <w:i/>
                                      <w:color w:val="FFFFFF"/>
                                      <w:sz w:val="39"/>
                                    </w:rPr>
                                    <w:t xml:space="preserve"> </w:t>
                                  </w:r>
                                  <w:proofErr w:type="spellStart"/>
                                  <w:r>
                                    <w:rPr>
                                      <w:b/>
                                      <w:i/>
                                      <w:color w:val="FFFFFF"/>
                                      <w:sz w:val="39"/>
                                    </w:rPr>
                                    <w:t>MICoMS</w:t>
                                  </w:r>
                                  <w:proofErr w:type="spellEnd"/>
                                  <w:r>
                                    <w:rPr>
                                      <w:b/>
                                      <w:i/>
                                      <w:color w:val="FFFFFF"/>
                                      <w:sz w:val="39"/>
                                    </w:rPr>
                                    <w:t xml:space="preserve"> 2022)</w:t>
                                  </w:r>
                                </w:p>
                              </w:txbxContent>
                            </wps:txbx>
                            <wps:bodyPr spcFirstLastPara="1" wrap="square" lIns="0" tIns="0" rIns="0" bIns="0" anchor="t" anchorCtr="0">
                              <a:noAutofit/>
                            </wps:bodyPr>
                          </wps:wsp>
                          <wps:wsp>
                            <wps:cNvPr id="7" name="Rectangle 7"/>
                            <wps:cNvSpPr/>
                            <wps:spPr>
                              <a:xfrm>
                                <a:off x="984316" y="897001"/>
                                <a:ext cx="4219612" cy="227221"/>
                              </a:xfrm>
                              <a:prstGeom prst="rect">
                                <a:avLst/>
                              </a:prstGeom>
                              <a:noFill/>
                              <a:ln>
                                <a:noFill/>
                              </a:ln>
                            </wps:spPr>
                            <wps:txbx>
                              <w:txbxContent>
                                <w:p w14:paraId="6F9B0CCF" w14:textId="77777777" w:rsidR="00E33890" w:rsidRDefault="006E2E18">
                                  <w:pPr>
                                    <w:spacing w:after="160" w:line="258" w:lineRule="auto"/>
                                    <w:ind w:left="0" w:right="0" w:firstLine="0"/>
                                    <w:jc w:val="left"/>
                                    <w:textDirection w:val="btLr"/>
                                  </w:pPr>
                                  <w:r>
                                    <w:rPr>
                                      <w:color w:val="2C466A"/>
                                      <w:sz w:val="18"/>
                                    </w:rPr>
                                    <w:t>INTERNATIONAL CONFERENCE PROCEEDINGS ISSN: xx/xxx</w:t>
                                  </w:r>
                                </w:p>
                              </w:txbxContent>
                            </wps:txbx>
                            <wps:bodyPr spcFirstLastPara="1" wrap="square" lIns="0" tIns="0" rIns="0" bIns="0" anchor="t" anchorCtr="0">
                              <a:noAutofit/>
                            </wps:bodyPr>
                          </wps:wsp>
                          <wps:wsp>
                            <wps:cNvPr id="8" name="Rectangle 8"/>
                            <wps:cNvSpPr/>
                            <wps:spPr>
                              <a:xfrm>
                                <a:off x="4826270" y="897001"/>
                                <a:ext cx="38014" cy="154178"/>
                              </a:xfrm>
                              <a:prstGeom prst="rect">
                                <a:avLst/>
                              </a:prstGeom>
                              <a:noFill/>
                              <a:ln>
                                <a:noFill/>
                              </a:ln>
                            </wps:spPr>
                            <wps:txbx>
                              <w:txbxContent>
                                <w:p w14:paraId="6F9B0CD0" w14:textId="77777777" w:rsidR="00E33890" w:rsidRDefault="006E2E18">
                                  <w:pPr>
                                    <w:spacing w:after="160" w:line="258" w:lineRule="auto"/>
                                    <w:ind w:left="0" w:right="0" w:firstLine="0"/>
                                    <w:jc w:val="left"/>
                                    <w:textDirection w:val="btLr"/>
                                  </w:pPr>
                                  <w:r>
                                    <w:rPr>
                                      <w:color w:val="2C466A"/>
                                      <w:sz w:val="18"/>
                                    </w:rPr>
                                    <w:t>|</w:t>
                                  </w:r>
                                </w:p>
                              </w:txbxContent>
                            </wps:txbx>
                            <wps:bodyPr spcFirstLastPara="1" wrap="square" lIns="0" tIns="0" rIns="0" bIns="0" anchor="t" anchorCtr="0">
                              <a:noAutofit/>
                            </wps:bodyPr>
                          </wps:wsp>
                          <wps:wsp>
                            <wps:cNvPr id="9" name="Rectangle 9"/>
                            <wps:cNvSpPr/>
                            <wps:spPr>
                              <a:xfrm>
                                <a:off x="4997877" y="897001"/>
                                <a:ext cx="1396989" cy="154178"/>
                              </a:xfrm>
                              <a:prstGeom prst="rect">
                                <a:avLst/>
                              </a:prstGeom>
                              <a:noFill/>
                              <a:ln>
                                <a:noFill/>
                              </a:ln>
                            </wps:spPr>
                            <wps:txbx>
                              <w:txbxContent>
                                <w:p w14:paraId="6F9B0CD1" w14:textId="77777777" w:rsidR="00E33890" w:rsidRDefault="006E2E18">
                                  <w:pPr>
                                    <w:spacing w:after="160" w:line="258" w:lineRule="auto"/>
                                    <w:ind w:left="0" w:right="0" w:firstLine="0"/>
                                    <w:jc w:val="left"/>
                                    <w:textDirection w:val="btLr"/>
                                  </w:pPr>
                                  <w:r>
                                    <w:rPr>
                                      <w:color w:val="2C466A"/>
                                      <w:sz w:val="18"/>
                                    </w:rPr>
                                    <w:t>RESEARCH ARTICLE</w:t>
                                  </w:r>
                                </w:p>
                              </w:txbxContent>
                            </wps:txbx>
                            <wps:bodyPr spcFirstLastPara="1" wrap="square" lIns="0" tIns="0" rIns="0" bIns="0" anchor="t" anchorCtr="0">
                              <a:noAutofit/>
                            </wps:bodyPr>
                          </wps:wsp>
                        </wpg:grpSp>
                        <pic:pic xmlns:pic="http://schemas.openxmlformats.org/drawingml/2006/picture">
                          <pic:nvPicPr>
                            <pic:cNvPr id="18" name="Shape 18"/>
                            <pic:cNvPicPr preferRelativeResize="0"/>
                          </pic:nvPicPr>
                          <pic:blipFill rotWithShape="1">
                            <a:blip r:embed="rId8">
                              <a:alphaModFix/>
                            </a:blip>
                            <a:srcRect/>
                            <a:stretch/>
                          </pic:blipFill>
                          <pic:spPr>
                            <a:xfrm>
                              <a:off x="6737350" y="12700"/>
                              <a:ext cx="806450" cy="806450"/>
                            </a:xfrm>
                            <a:prstGeom prst="rect">
                              <a:avLst/>
                            </a:prstGeom>
                            <a:noFill/>
                            <a:ln>
                              <a:noFill/>
                            </a:ln>
                          </pic:spPr>
                        </pic:pic>
                      </wpg:grpSp>
                    </wpg:wgp>
                  </a:graphicData>
                </a:graphic>
              </wp:anchor>
            </w:drawing>
          </mc:Choice>
          <mc:Fallback>
            <w:pict>
              <v:group w14:anchorId="6F9B0CB7" id="Group 15373" o:spid="_x0000_s1026" style="position:absolute;left:0;text-align:left;margin-left:-85pt;margin-top:-75pt;width:595.4pt;height:88.5pt;z-index:251658240" coordorigin="15652,32180" coordsize="75616,11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">
                <v:group id="Group 1" o:spid="_x0000_s1027" style="position:absolute;left:15652;top:32180;width:75615;height:11239" coordsize="75615,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561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F9B0CCC" w14:textId="77777777" w:rsidR="00E33890" w:rsidRDefault="00E33890">
                          <w:pPr>
                            <w:spacing w:after="0" w:line="240" w:lineRule="auto"/>
                            <w:ind w:left="0" w:right="0" w:firstLine="0"/>
                            <w:jc w:val="left"/>
                            <w:textDirection w:val="btLr"/>
                          </w:pPr>
                        </w:p>
                      </w:txbxContent>
                    </v:textbox>
                  </v:rect>
                  <v:group id="Group 3" o:spid="_x0000_s1029" style="position:absolute;width:75615;height:11239" coordsize="75620,1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0" style="position:absolute;width:75620;height:8279;visibility:visible;mso-wrap-style:square;v-text-anchor:middle" coordsize="7562088,82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" path="m,l7562088,r,827925l,827925,,e" fillcolor="#2c466a" stroked="f">
                      <v:path arrowok="t" o:extrusionok="f"/>
                    </v:shape>
                    <v:shape id="Freeform: Shape 5" o:spid="_x0000_s1031" style="position:absolute;left:24489;top:4465;width:35983;height:2588;visibility:visible;mso-wrap-style:square;v-text-anchor:middle" coordsize="3598245,25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" path="m,l3598245,r,258829l,258829,,e" fillcolor="#2c466a" stroked="f">
                      <v:path arrowok="t" o:extrusionok="f"/>
                    </v:shape>
                    <v:rect id="Rectangle 6" o:spid="_x0000_s1032" style="position:absolute;left:9906;top:1244;width:61473;height:7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F9B0CCD" w14:textId="77777777" w:rsidR="00E33890" w:rsidRDefault="006E2E18">
                            <w:pPr>
                              <w:spacing w:after="0" w:line="240" w:lineRule="auto"/>
                              <w:ind w:left="0" w:right="0" w:firstLine="0"/>
                              <w:jc w:val="left"/>
                              <w:textDirection w:val="btLr"/>
                            </w:pPr>
                            <w:r>
                              <w:rPr>
                                <w:b/>
                                <w:i/>
                                <w:color w:val="FFFFFF"/>
                                <w:sz w:val="39"/>
                              </w:rPr>
                              <w:t>3</w:t>
                            </w:r>
                            <w:r>
                              <w:rPr>
                                <w:b/>
                                <w:i/>
                                <w:color w:val="FFFFFF"/>
                                <w:sz w:val="39"/>
                                <w:vertAlign w:val="superscript"/>
                              </w:rPr>
                              <w:t>rd</w:t>
                            </w:r>
                            <w:r>
                              <w:rPr>
                                <w:b/>
                                <w:i/>
                                <w:color w:val="FFFFFF"/>
                                <w:sz w:val="39"/>
                              </w:rPr>
                              <w:t xml:space="preserve"> </w:t>
                            </w:r>
                            <w:proofErr w:type="spellStart"/>
                            <w:r>
                              <w:rPr>
                                <w:b/>
                                <w:i/>
                                <w:color w:val="FFFFFF"/>
                                <w:sz w:val="39"/>
                              </w:rPr>
                              <w:t>Malikussaleh</w:t>
                            </w:r>
                            <w:proofErr w:type="spellEnd"/>
                            <w:r>
                              <w:rPr>
                                <w:b/>
                                <w:i/>
                                <w:color w:val="FFFFFF"/>
                                <w:sz w:val="39"/>
                              </w:rPr>
                              <w:t xml:space="preserve"> International Conference </w:t>
                            </w:r>
                          </w:p>
                          <w:p w14:paraId="6F9B0CCE" w14:textId="77777777" w:rsidR="00E33890" w:rsidRDefault="006E2E18">
                            <w:pPr>
                              <w:spacing w:after="0" w:line="240" w:lineRule="auto"/>
                              <w:ind w:left="0" w:right="0" w:firstLine="0"/>
                              <w:jc w:val="left"/>
                              <w:textDirection w:val="btLr"/>
                            </w:pPr>
                            <w:r>
                              <w:rPr>
                                <w:b/>
                                <w:i/>
                                <w:color w:val="FFFFFF"/>
                                <w:sz w:val="39"/>
                              </w:rPr>
                              <w:t xml:space="preserve">on </w:t>
                            </w:r>
                            <w:proofErr w:type="spellStart"/>
                            <w:r>
                              <w:rPr>
                                <w:b/>
                                <w:i/>
                                <w:color w:val="FFFFFF"/>
                                <w:sz w:val="39"/>
                              </w:rPr>
                              <w:t>Multidiciplinary</w:t>
                            </w:r>
                            <w:proofErr w:type="spellEnd"/>
                            <w:r>
                              <w:rPr>
                                <w:b/>
                                <w:i/>
                                <w:color w:val="FFFFFF"/>
                                <w:sz w:val="39"/>
                              </w:rPr>
                              <w:t xml:space="preserve"> Studies 2022 (3</w:t>
                            </w:r>
                            <w:r>
                              <w:rPr>
                                <w:b/>
                                <w:i/>
                                <w:color w:val="FFFFFF"/>
                                <w:sz w:val="39"/>
                                <w:vertAlign w:val="superscript"/>
                              </w:rPr>
                              <w:t>rd</w:t>
                            </w:r>
                            <w:r>
                              <w:rPr>
                                <w:b/>
                                <w:i/>
                                <w:color w:val="FFFFFF"/>
                                <w:sz w:val="39"/>
                              </w:rPr>
                              <w:t xml:space="preserve"> </w:t>
                            </w:r>
                            <w:proofErr w:type="spellStart"/>
                            <w:r>
                              <w:rPr>
                                <w:b/>
                                <w:i/>
                                <w:color w:val="FFFFFF"/>
                                <w:sz w:val="39"/>
                              </w:rPr>
                              <w:t>MICoMS</w:t>
                            </w:r>
                            <w:proofErr w:type="spellEnd"/>
                            <w:r>
                              <w:rPr>
                                <w:b/>
                                <w:i/>
                                <w:color w:val="FFFFFF"/>
                                <w:sz w:val="39"/>
                              </w:rPr>
                              <w:t xml:space="preserve"> 2022)</w:t>
                            </w:r>
                          </w:p>
                        </w:txbxContent>
                      </v:textbox>
                    </v:rect>
                    <v:rect id="Rectangle 7" o:spid="_x0000_s1033" style="position:absolute;left:9843;top:8970;width:42196;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F9B0CCF" w14:textId="77777777" w:rsidR="00E33890" w:rsidRDefault="006E2E18">
                            <w:pPr>
                              <w:spacing w:after="160" w:line="258" w:lineRule="auto"/>
                              <w:ind w:left="0" w:right="0" w:firstLine="0"/>
                              <w:jc w:val="left"/>
                              <w:textDirection w:val="btLr"/>
                            </w:pPr>
                            <w:r>
                              <w:rPr>
                                <w:color w:val="2C466A"/>
                                <w:sz w:val="18"/>
                              </w:rPr>
                              <w:t>INTERNATIONAL CONFERENCE PROCEEDINGS ISSN: xx/xxx</w:t>
                            </w:r>
                          </w:p>
                        </w:txbxContent>
                      </v:textbox>
                    </v:rect>
                    <v:rect id="Rectangle 8" o:spid="_x0000_s1034" style="position:absolute;left:48262;top:8970;width:38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F9B0CD0" w14:textId="77777777" w:rsidR="00E33890" w:rsidRDefault="006E2E18">
                            <w:pPr>
                              <w:spacing w:after="160" w:line="258" w:lineRule="auto"/>
                              <w:ind w:left="0" w:right="0" w:firstLine="0"/>
                              <w:jc w:val="left"/>
                              <w:textDirection w:val="btLr"/>
                            </w:pPr>
                            <w:r>
                              <w:rPr>
                                <w:color w:val="2C466A"/>
                                <w:sz w:val="18"/>
                              </w:rPr>
                              <w:t>|</w:t>
                            </w:r>
                          </w:p>
                        </w:txbxContent>
                      </v:textbox>
                    </v:rect>
                    <v:rect id="Rectangle 9" o:spid="_x0000_s1035" style="position:absolute;left:49978;top:8970;width:1397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F9B0CD1" w14:textId="77777777" w:rsidR="00E33890" w:rsidRDefault="006E2E18">
                            <w:pPr>
                              <w:spacing w:after="160" w:line="258" w:lineRule="auto"/>
                              <w:ind w:left="0" w:right="0" w:firstLine="0"/>
                              <w:jc w:val="left"/>
                              <w:textDirection w:val="btLr"/>
                            </w:pPr>
                            <w:r>
                              <w:rPr>
                                <w:color w:val="2C466A"/>
                                <w:sz w:val="18"/>
                              </w:rPr>
                              <w:t>RESEARCH ARTICLE</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36" type="#_x0000_t75" style="position:absolute;left:67373;top:127;width:8065;height:8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">
                    <v:imagedata r:id="rId9" o:title=""/>
                  </v:shape>
                </v:group>
              </v:group>
            </w:pict>
          </mc:Fallback>
        </mc:AlternateContent>
      </w:r>
    </w:p>
    <w:p w14:paraId="6F9B0C7E" w14:textId="524AD4BF" w:rsidR="00E33890" w:rsidRDefault="00376CD9" w:rsidP="00376CD9">
      <w:pPr>
        <w:spacing w:after="0" w:line="216" w:lineRule="auto"/>
        <w:ind w:left="0" w:right="0" w:firstLine="0"/>
        <w:jc w:val="center"/>
        <w:rPr>
          <w:b/>
          <w:sz w:val="28"/>
          <w:szCs w:val="28"/>
        </w:rPr>
      </w:pPr>
      <w:r w:rsidRPr="00376CD9">
        <w:rPr>
          <w:b/>
          <w:sz w:val="32"/>
          <w:szCs w:val="32"/>
        </w:rPr>
        <w:t>Development of a Chemical Literacy Assessment on Colloid (CLAC) instrument to measure Chemical Literacy</w:t>
      </w:r>
    </w:p>
    <w:p w14:paraId="6F9B0C7F" w14:textId="5A0F23E4" w:rsidR="00E33890" w:rsidRDefault="00822C80" w:rsidP="007C3F2E">
      <w:pPr>
        <w:pBdr>
          <w:top w:val="nil"/>
          <w:left w:val="nil"/>
          <w:bottom w:val="nil"/>
          <w:right w:val="nil"/>
          <w:between w:val="nil"/>
        </w:pBdr>
        <w:spacing w:before="120" w:after="120" w:line="360" w:lineRule="auto"/>
        <w:ind w:left="0" w:hanging="2"/>
        <w:jc w:val="center"/>
        <w:rPr>
          <w:sz w:val="24"/>
          <w:szCs w:val="24"/>
        </w:rPr>
      </w:pPr>
      <w:r w:rsidRPr="00822C80">
        <w:rPr>
          <w:sz w:val="24"/>
          <w:szCs w:val="24"/>
          <w:lang w:val="id-ID"/>
        </w:rPr>
        <w:t>Isna Rezkia Lukman</w:t>
      </w:r>
      <w:r w:rsidRPr="00822C80">
        <w:rPr>
          <w:sz w:val="24"/>
          <w:szCs w:val="24"/>
          <w:vertAlign w:val="superscript"/>
          <w:lang w:val="id-ID"/>
        </w:rPr>
        <w:t>1</w:t>
      </w:r>
      <w:r w:rsidRPr="00822C80">
        <w:rPr>
          <w:sz w:val="24"/>
          <w:szCs w:val="24"/>
          <w:lang w:val="id-ID"/>
        </w:rPr>
        <w:t>, Mellyzar</w:t>
      </w:r>
      <w:r w:rsidRPr="00822C80">
        <w:rPr>
          <w:sz w:val="24"/>
          <w:szCs w:val="24"/>
          <w:vertAlign w:val="superscript"/>
          <w:lang w:val="id-ID"/>
        </w:rPr>
        <w:t>2*</w:t>
      </w:r>
      <w:r w:rsidRPr="00822C80">
        <w:rPr>
          <w:sz w:val="24"/>
          <w:szCs w:val="24"/>
          <w:lang w:val="id-ID"/>
        </w:rPr>
        <w:t>, Sirry Alvina</w:t>
      </w:r>
      <w:r w:rsidRPr="00822C80">
        <w:rPr>
          <w:sz w:val="24"/>
          <w:szCs w:val="24"/>
          <w:vertAlign w:val="superscript"/>
          <w:lang w:val="id-ID"/>
        </w:rPr>
        <w:t>3</w:t>
      </w:r>
      <w:r w:rsidRPr="00822C80">
        <w:rPr>
          <w:sz w:val="24"/>
          <w:szCs w:val="24"/>
          <w:lang w:val="id-ID"/>
        </w:rPr>
        <w:t>, Nailis Sa</w:t>
      </w:r>
      <w:r w:rsidRPr="00822C80">
        <w:rPr>
          <w:sz w:val="24"/>
          <w:szCs w:val="24"/>
          <w:lang w:val="en-US"/>
        </w:rPr>
        <w:t>a</w:t>
      </w:r>
      <w:r w:rsidRPr="00822C80">
        <w:rPr>
          <w:sz w:val="24"/>
          <w:szCs w:val="24"/>
          <w:lang w:val="id-ID"/>
        </w:rPr>
        <w:t>’dah</w:t>
      </w:r>
      <w:r w:rsidRPr="00822C80">
        <w:rPr>
          <w:sz w:val="24"/>
          <w:szCs w:val="24"/>
          <w:vertAlign w:val="superscript"/>
          <w:lang w:val="en-US"/>
        </w:rPr>
        <w:t>4</w:t>
      </w:r>
    </w:p>
    <w:p w14:paraId="6F9B0C80" w14:textId="3CDC5487" w:rsidR="00E33890" w:rsidRDefault="006E2E18" w:rsidP="007C3F2E">
      <w:pPr>
        <w:pBdr>
          <w:top w:val="nil"/>
          <w:left w:val="nil"/>
          <w:bottom w:val="nil"/>
          <w:right w:val="nil"/>
          <w:between w:val="nil"/>
        </w:pBdr>
        <w:spacing w:after="0" w:line="240" w:lineRule="auto"/>
        <w:ind w:left="0" w:hanging="2"/>
        <w:rPr>
          <w:i/>
        </w:rPr>
      </w:pPr>
      <w:r>
        <w:rPr>
          <w:i/>
          <w:vertAlign w:val="superscript"/>
        </w:rPr>
        <w:t>1</w:t>
      </w:r>
      <w:r w:rsidR="00A36392">
        <w:rPr>
          <w:i/>
          <w:vertAlign w:val="superscript"/>
        </w:rPr>
        <w:t>,2,3,4</w:t>
      </w:r>
      <w:r>
        <w:rPr>
          <w:i/>
          <w:vertAlign w:val="superscript"/>
        </w:rPr>
        <w:t xml:space="preserve"> </w:t>
      </w:r>
      <w:r w:rsidR="00D3527B" w:rsidRPr="00D3527B">
        <w:rPr>
          <w:i/>
          <w:iCs/>
          <w:lang w:val="en-US"/>
        </w:rPr>
        <w:t>Department of</w:t>
      </w:r>
      <w:r w:rsidR="00D3527B" w:rsidRPr="00D3527B">
        <w:rPr>
          <w:i/>
          <w:iCs/>
          <w:vertAlign w:val="superscript"/>
          <w:lang w:val="en-US"/>
        </w:rPr>
        <w:t xml:space="preserve"> </w:t>
      </w:r>
      <w:r w:rsidR="00D3527B" w:rsidRPr="00D3527B">
        <w:rPr>
          <w:i/>
          <w:iCs/>
          <w:lang w:val="en-US"/>
        </w:rPr>
        <w:t xml:space="preserve">Chemistry Education, Universitas </w:t>
      </w:r>
      <w:proofErr w:type="spellStart"/>
      <w:r w:rsidR="00D3527B" w:rsidRPr="00D3527B">
        <w:rPr>
          <w:i/>
          <w:iCs/>
          <w:lang w:val="en-US"/>
        </w:rPr>
        <w:t>Malikussaleh</w:t>
      </w:r>
      <w:proofErr w:type="spellEnd"/>
      <w:r w:rsidR="00D3527B" w:rsidRPr="00D3527B">
        <w:rPr>
          <w:i/>
          <w:iCs/>
          <w:lang w:val="en-US"/>
        </w:rPr>
        <w:t>, North Aceh</w:t>
      </w:r>
    </w:p>
    <w:p w14:paraId="6F9B0C82" w14:textId="3C698212" w:rsidR="00E33890" w:rsidRDefault="006E2E18" w:rsidP="007C3F2E">
      <w:pPr>
        <w:pBdr>
          <w:top w:val="nil"/>
          <w:left w:val="nil"/>
          <w:bottom w:val="nil"/>
          <w:right w:val="nil"/>
          <w:between w:val="nil"/>
        </w:pBdr>
        <w:spacing w:after="120" w:line="360" w:lineRule="auto"/>
        <w:ind w:left="0" w:hanging="2"/>
        <w:rPr>
          <w:i/>
        </w:rPr>
      </w:pPr>
      <w:r>
        <w:rPr>
          <w:i/>
          <w:vertAlign w:val="superscript"/>
        </w:rPr>
        <w:t>*</w:t>
      </w:r>
      <w:r>
        <w:rPr>
          <w:i/>
        </w:rPr>
        <w:t xml:space="preserve">Corresponding author. Email: </w:t>
      </w:r>
      <w:hyperlink r:id="rId10" w:history="1">
        <w:r w:rsidR="00D90B01" w:rsidRPr="00D90B01">
          <w:rPr>
            <w:rStyle w:val="Hyperlink"/>
            <w:i/>
            <w:lang w:val="en-US"/>
          </w:rPr>
          <w:t>mellyzar@unima.ac.id</w:t>
        </w:r>
      </w:hyperlink>
    </w:p>
    <w:p w14:paraId="6F9B0C83" w14:textId="77777777" w:rsidR="00E33890" w:rsidRDefault="00E33890" w:rsidP="007C3F2E">
      <w:pPr>
        <w:pBdr>
          <w:top w:val="nil"/>
          <w:left w:val="nil"/>
          <w:bottom w:val="nil"/>
          <w:right w:val="nil"/>
          <w:between w:val="nil"/>
        </w:pBdr>
        <w:spacing w:after="0" w:line="240" w:lineRule="auto"/>
        <w:ind w:left="0" w:hanging="2"/>
        <w:rPr>
          <w:b/>
        </w:rPr>
      </w:pPr>
    </w:p>
    <w:p w14:paraId="6F9B0C84" w14:textId="77777777" w:rsidR="00E33890" w:rsidRDefault="006E2E18" w:rsidP="007C3F2E">
      <w:pPr>
        <w:pBdr>
          <w:top w:val="nil"/>
          <w:left w:val="nil"/>
          <w:bottom w:val="nil"/>
          <w:right w:val="nil"/>
          <w:between w:val="nil"/>
        </w:pBdr>
        <w:spacing w:after="0" w:line="240" w:lineRule="auto"/>
        <w:ind w:left="0" w:hanging="2"/>
      </w:pPr>
      <w:r>
        <w:rPr>
          <w:b/>
        </w:rPr>
        <w:t>ABSTRACT</w:t>
      </w:r>
    </w:p>
    <w:p w14:paraId="6F9B0C85" w14:textId="183F37C9" w:rsidR="00E33890" w:rsidRDefault="00B44BBB" w:rsidP="007C3F2E">
      <w:pPr>
        <w:pBdr>
          <w:top w:val="nil"/>
          <w:left w:val="nil"/>
          <w:bottom w:val="nil"/>
          <w:right w:val="nil"/>
          <w:between w:val="nil"/>
        </w:pBdr>
        <w:spacing w:after="0" w:line="240" w:lineRule="auto"/>
        <w:ind w:left="0" w:hanging="2"/>
      </w:pPr>
      <w:r w:rsidRPr="00B44BBB">
        <w:rPr>
          <w:lang w:val="id-ID"/>
        </w:rPr>
        <w:t>The 21st century requires four specific skills namely literacy, inventive thinking, effective communication, and high productivity. Literacy includes basic literacy, scientific literacy, economic literacy, technological literacy, visual literacy, information literacy, and multicultural literacy. The purpose of this research is to produce a chemical literacy assessment instrument on colloidal system material that is suitable for use as a chemistry measurement tool for high school students who meet the requirements of feasibility validity, reliability, and level of difficulty. This research is a form of development research or R&amp;D (</w:t>
      </w:r>
      <w:r w:rsidRPr="00B44BBB">
        <w:rPr>
          <w:i/>
          <w:iCs/>
          <w:lang w:val="id-ID"/>
        </w:rPr>
        <w:t>Research and Development</w:t>
      </w:r>
      <w:r w:rsidRPr="00B44BBB">
        <w:rPr>
          <w:lang w:val="id-ID"/>
        </w:rPr>
        <w:t xml:space="preserve">). The development model used in this research is the Oriondo and Dallo Antonio instrument development model, which has five stages: 1) planning the test, 2) </w:t>
      </w:r>
      <w:r w:rsidRPr="00B44BBB">
        <w:rPr>
          <w:i/>
          <w:iCs/>
          <w:lang w:val="id-ID"/>
        </w:rPr>
        <w:t>trying out the test</w:t>
      </w:r>
      <w:r w:rsidRPr="00B44BBB">
        <w:rPr>
          <w:lang w:val="id-ID"/>
        </w:rPr>
        <w:t>, 3) establishing empirical validity (</w:t>
      </w:r>
      <w:r w:rsidRPr="00B44BBB">
        <w:rPr>
          <w:i/>
          <w:iCs/>
          <w:lang w:val="id-ID"/>
        </w:rPr>
        <w:t>establishing test validity</w:t>
      </w:r>
      <w:r w:rsidRPr="00B44BBB">
        <w:rPr>
          <w:lang w:val="id-ID"/>
        </w:rPr>
        <w:t>), 4) determining reliability (</w:t>
      </w:r>
      <w:r w:rsidRPr="00B44BBB">
        <w:rPr>
          <w:i/>
          <w:iCs/>
          <w:lang w:val="id-ID"/>
        </w:rPr>
        <w:t>establishing test reliability</w:t>
      </w:r>
      <w:r w:rsidRPr="00B44BBB">
        <w:rPr>
          <w:lang w:val="id-ID"/>
        </w:rPr>
        <w:t>), 5) interpretation of scores (</w:t>
      </w:r>
      <w:r w:rsidRPr="00B44BBB">
        <w:rPr>
          <w:i/>
          <w:iCs/>
          <w:lang w:val="id-ID"/>
        </w:rPr>
        <w:t>interpreting the test scores</w:t>
      </w:r>
      <w:r w:rsidRPr="00B44BBB">
        <w:rPr>
          <w:lang w:val="id-ID"/>
        </w:rPr>
        <w:t xml:space="preserve">). The data collection instruments used in this study were questionnaire validation sheets, question validation sheets, and development results questions. The reliability value of the </w:t>
      </w:r>
      <w:r w:rsidRPr="00B44BBB">
        <w:rPr>
          <w:i/>
          <w:iCs/>
          <w:lang w:val="id-ID"/>
        </w:rPr>
        <w:t xml:space="preserve">person </w:t>
      </w:r>
      <w:r w:rsidRPr="00B44BBB">
        <w:rPr>
          <w:lang w:val="id-ID"/>
        </w:rPr>
        <w:t xml:space="preserve">from the score obtained in the trial was 0.55 indicating that the reliability of the </w:t>
      </w:r>
      <w:r w:rsidRPr="00B44BBB">
        <w:rPr>
          <w:i/>
          <w:iCs/>
          <w:lang w:val="id-ID"/>
        </w:rPr>
        <w:t xml:space="preserve">person </w:t>
      </w:r>
      <w:r w:rsidRPr="00B44BBB">
        <w:rPr>
          <w:lang w:val="id-ID"/>
        </w:rPr>
        <w:t xml:space="preserve">or students was in the medium category. Reliability value </w:t>
      </w:r>
      <w:r w:rsidRPr="00B44BBB">
        <w:rPr>
          <w:i/>
          <w:iCs/>
          <w:lang w:val="id-ID"/>
        </w:rPr>
        <w:t xml:space="preserve">item </w:t>
      </w:r>
      <w:r w:rsidRPr="00B44BBB">
        <w:rPr>
          <w:lang w:val="id-ID"/>
        </w:rPr>
        <w:t xml:space="preserve">was 0.48 in the medium category. Overall, the average reliability value or </w:t>
      </w:r>
      <w:r w:rsidRPr="00B44BBB">
        <w:rPr>
          <w:i/>
          <w:iCs/>
          <w:lang w:val="id-ID"/>
        </w:rPr>
        <w:t xml:space="preserve">Cronbach Alpha </w:t>
      </w:r>
      <w:r w:rsidRPr="00B44BBB">
        <w:rPr>
          <w:lang w:val="id-ID"/>
        </w:rPr>
        <w:t>is 0.69 in the sufficient category. So it can be concluded that the score obtained from the assessment instrument is reliable because it has fulfilled a minimum coefficient value of 0.60.</w:t>
      </w:r>
    </w:p>
    <w:p w14:paraId="6F9B0C86" w14:textId="6660F902" w:rsidR="00E33890" w:rsidRDefault="006E2E18" w:rsidP="007C3F2E">
      <w:pPr>
        <w:pBdr>
          <w:top w:val="nil"/>
          <w:left w:val="nil"/>
          <w:bottom w:val="nil"/>
          <w:right w:val="nil"/>
          <w:between w:val="nil"/>
        </w:pBdr>
        <w:spacing w:before="240" w:after="440" w:line="240" w:lineRule="auto"/>
        <w:ind w:left="0" w:hanging="2"/>
        <w:rPr>
          <w:i/>
        </w:rPr>
      </w:pPr>
      <w:r>
        <w:rPr>
          <w:b/>
          <w:i/>
        </w:rPr>
        <w:t>K</w:t>
      </w:r>
      <w:r>
        <w:rPr>
          <w:b/>
          <w:i/>
        </w:rPr>
        <w:t>eywords:</w:t>
      </w:r>
      <w:r>
        <w:rPr>
          <w:i/>
        </w:rPr>
        <w:t xml:space="preserve"> </w:t>
      </w:r>
      <w:r w:rsidR="001B3B6C">
        <w:rPr>
          <w:i/>
          <w:lang w:val="en-US"/>
        </w:rPr>
        <w:t>C</w:t>
      </w:r>
      <w:r w:rsidR="001B3B6C" w:rsidRPr="001B3B6C">
        <w:rPr>
          <w:i/>
          <w:lang w:val="id-ID"/>
        </w:rPr>
        <w:t xml:space="preserve">hemical </w:t>
      </w:r>
      <w:r w:rsidR="001B3B6C" w:rsidRPr="001B3B6C">
        <w:rPr>
          <w:i/>
          <w:lang w:val="en-US"/>
        </w:rPr>
        <w:t>l</w:t>
      </w:r>
      <w:r w:rsidR="001B3B6C" w:rsidRPr="001B3B6C">
        <w:rPr>
          <w:i/>
          <w:lang w:val="id-ID"/>
        </w:rPr>
        <w:t xml:space="preserve">iteracy, </w:t>
      </w:r>
      <w:r w:rsidR="001B3B6C">
        <w:rPr>
          <w:i/>
          <w:lang w:val="en-US"/>
        </w:rPr>
        <w:t>A</w:t>
      </w:r>
      <w:r w:rsidR="001B3B6C" w:rsidRPr="001B3B6C">
        <w:rPr>
          <w:i/>
          <w:lang w:val="id-ID"/>
        </w:rPr>
        <w:t>ssessment</w:t>
      </w:r>
      <w:r w:rsidR="001B3B6C" w:rsidRPr="001B3B6C">
        <w:rPr>
          <w:i/>
          <w:lang w:val="en-US"/>
        </w:rPr>
        <w:t xml:space="preserve">, </w:t>
      </w:r>
      <w:r w:rsidR="001B3B6C">
        <w:rPr>
          <w:i/>
          <w:lang w:val="en-US"/>
        </w:rPr>
        <w:t>C</w:t>
      </w:r>
      <w:r w:rsidR="001B3B6C" w:rsidRPr="001B3B6C">
        <w:rPr>
          <w:i/>
          <w:lang w:val="id-ID"/>
        </w:rPr>
        <w:t>olloid</w:t>
      </w:r>
      <w:r w:rsidR="001B3B6C">
        <w:rPr>
          <w:i/>
          <w:lang w:val="en-US"/>
        </w:rPr>
        <w:t>.</w:t>
      </w:r>
      <w:r w:rsidR="001B3B6C" w:rsidRPr="001B3B6C">
        <w:rPr>
          <w:i/>
        </w:rPr>
        <w:t xml:space="preserve"> </w:t>
      </w:r>
    </w:p>
    <w:p w14:paraId="6F9B0C87" w14:textId="771ACA89" w:rsidR="00E33890" w:rsidRDefault="006E2E18" w:rsidP="007C3F2E">
      <w:pPr>
        <w:pBdr>
          <w:top w:val="nil"/>
          <w:left w:val="nil"/>
          <w:bottom w:val="nil"/>
          <w:right w:val="nil"/>
          <w:between w:val="nil"/>
        </w:pBdr>
        <w:spacing w:after="180"/>
        <w:ind w:left="0" w:hanging="2"/>
        <w:rPr>
          <w:b/>
          <w:smallCaps/>
          <w:sz w:val="23"/>
          <w:szCs w:val="23"/>
        </w:rPr>
      </w:pPr>
      <w:r>
        <w:rPr>
          <w:b/>
          <w:smallCaps/>
          <w:sz w:val="23"/>
          <w:szCs w:val="23"/>
        </w:rPr>
        <w:t xml:space="preserve">1. </w:t>
      </w:r>
      <w:bookmarkStart w:id="0" w:name="bookmark=id.30j0zll" w:colFirst="0" w:colLast="0"/>
      <w:bookmarkEnd w:id="0"/>
      <w:r w:rsidR="00462729">
        <w:rPr>
          <w:b/>
          <w:smallCaps/>
          <w:sz w:val="23"/>
          <w:szCs w:val="23"/>
        </w:rPr>
        <w:t>INTRODUCTION</w:t>
      </w:r>
    </w:p>
    <w:p w14:paraId="76C1AEB1" w14:textId="77777777" w:rsidR="00EC6C07" w:rsidRPr="00EC6C07" w:rsidRDefault="00EC6C07" w:rsidP="007C3F2E">
      <w:pPr>
        <w:pBdr>
          <w:top w:val="nil"/>
          <w:left w:val="nil"/>
          <w:bottom w:val="nil"/>
          <w:right w:val="nil"/>
          <w:between w:val="nil"/>
        </w:pBdr>
        <w:spacing w:after="120"/>
        <w:ind w:left="0" w:hanging="2"/>
        <w:rPr>
          <w:lang w:val="id-ID"/>
        </w:rPr>
      </w:pPr>
      <w:r w:rsidRPr="00EC6C07">
        <w:rPr>
          <w:lang w:val="id-ID"/>
        </w:rPr>
        <w:t xml:space="preserve">The development of science and technology in information and technology makes education an increasingly serious challenge. One of them, education must be able to produce talented human resources who are fully capable of facing life's challenges </w:t>
      </w:r>
      <w:r w:rsidRPr="00EC6C07">
        <w:rPr>
          <w:lang w:val="id-ID"/>
        </w:rPr>
        <w:fldChar w:fldCharType="begin" w:fldLock="1"/>
      </w:r>
      <w:r w:rsidRPr="00EC6C07">
        <w:rPr>
          <w:lang w:val="id-ID"/>
        </w:rPr>
        <w:instrText>ADDIN CSL_CITATION {"citationItems":[{"id":"ITEM-1","itemData":{"author":[{"dropping-particle":"","family":"Yuliati","given":"Yuyu","non-dropping-particle":"","parse-names":false,"suffix":""}],"container-title":"Jurnal cakrawala pendas","id":"ITEM-1","issue":"2","issued":{"date-parts":[["2017"]]},"page":"266426.","title":"Literasi sains dalam pembelajaran IPA","type":"article-journal","volume":"3"},"uris":["http://www.mendeley.com/documents/?uuid=20e29c85-4a9f-41df-99d9-90d8e5efa13d","http://www.mendeley.com/documents/?uuid=305576c0-538f-49b0-a1f1-06f15cd08008","http://www.mendeley.com/documents/?uuid=391aed41-e6ce-4c24-97ea-f8e87d6ade8c"]},{"id":"ITEM-2","itemData":{"DOI":"10.36312/JISIP.V5I1.1575","ISSN":"2656-6753","abstract":"Literasi sains merupakan kemampuan yang diperlukan dalam memahami sains dan menerapkan dalam konsep kehidupan sehari-hari sebagai modal dasar dan potensi dalam menghadapi tantangan diabad 21 yang telah memasuki era revolusi industri 4.0 . Tujuan penelitian ini untuk mengetahui presepsi mahasiswa calon guru tentang literasi sains. Metode yang digunakan adalah deskriptif kuatitatif. Subjek yang digunakan dalam penleitian ini adalah mahasiswa program studi pendidikan fisika dan kimia di Universitas Malikussaleh yang menempuh semester I,III,VII dan IX. Sampel berjumlah 80 orang mahasiswa yang ditetapkan secara random sampling. Instrumen yang digunakan untuk pengumpulan data adalah angket presepsi mahasiswa terhadap literasi sains. Dalam menganalisis skor per indikator dan skor per aspek literasi sains mahasiswa, digunakan teknik konversi dan kategorisasi. Jika skornya 81% - 100% (sangat baik), 61% - 80% (baik), 41% - 60% (cukup), 21% - 40% (kurang), ≤ 20% (sangat kurang). Hasil penelitian diperoleh (1) Presepsi mahasiswa tentang pentingnya literasi sains diterapkan pada pembelajaran diperoleh nilai rata-rata persentase pada setiap aspek literasi sains yaitu aspek pengetahuan sebesar 91.05% dengan kategori sangat penting, aspek penyelidikan sebesar 88,75% dengan kategori sangat penting, aspek cara memperoleh pengetahuan sains sebesar 83,19% dengan kategori sangat penting, aspek interaksi sains teknologi dan masyarakat sebesar 80,42% dengan kategori sangat penting. (2) Kemampuan literasi sains mahasiswa calon guru ditinjau dari aspek-aspek literasi sains diperoleh nilai rata-rata persentase sebesar 64.32% dengan kategori baik. (3) Kemampuan pengetahuan awal mahasiswa terhadap literasi sains diperoleh nilai persentase sebesar 73.24% dengan kategori baik. Jadi dapat disimpulkan bahwa mahasiswa calon guru menganggap sangat diperlukan literasi sains diterapkan dalam pembelajaran sebagai implikasi diperolehnya kemampuan literasi sains yang baik.","author":[{"dropping-particle":"","family":"Muliani","given":"Muliani","non-dropping-particle":"","parse-names":false,"suffix":""},{"dropping-particle":"","family":"Marhami","given":"Marhami","non-dropping-particle":"","parse-names":false,"suffix":""},{"dropping-particle":"","family":"Lukman","given":"Isna Rezkia","non-dropping-particle":"","parse-names":false,"suffix":""}],"container-title":"JISIP (Jurnal Ilmu Sosial dan Pendidikan)","id":"ITEM-2","issue":"1","issued":{"date-parts":[["2021","1","3"]]},"publisher":"Lembaga Penelitian dan Pemberdayaan Masyarakat - LITPAM","title":"Persepsi Mahasiswa Calon Guru Tentang Literasi Sains","type":"article-journal","volume":"5"},"uris":["http://www.mendeley.com/documents/?uuid=105468fe-a862-3caa-aee7-9c79d4880187"]},{"id":"ITEM-3","itemData":{"DOI":"10.1088/1742-6596/1156/1/012033","ISBN":"156/1/012033","ISSN":"1742-6596","abstract":"This paper describes a second year of two-year of longitudinal study of the integration of Science, Technology, Engineering, Art, and Mathematics (STEAM) in chemistry learning in secondary schools in which the importance of critical and creative thinking skills were explored. The study involved 76 students of Year 11 from two secondary schools in Indonesia. The STEAM integration was implemented in the teaching of acid and base through a project-based learning model. The research employed a qualitative approach to explore the integration of STEAM in chemistry, students' critical and creative thinking skills development. Data were collected through observations, interviews, reflective journals, critical and creative thinking skills assessment. The students develop their STEAM projects by integrating chemistry concepts with STEAM principles. The study results were analyzed based on the pattern themes found in different data sources. It showed that students developed creativity and critical thinking skills. The study faced challenges of STEAM integration with chemistry concepts, empowering teachers, engaging students, and managing time and resources. The integration of STEAM provided the opportunities for students in chemistry learning engagement and several areas of thinking skills development in relation to the current curricula objectives.","author":[{"dropping-particle":"","family":"Rahmawati","given":"Y.","non-dropping-particle":"","parse-names":false,"suffix":""},{"dropping-particle":"","family":"Ridwan","given":"A.","non-dropping-particle":"","parse-names":false,"suffix":""},{"dropping-particle":"","family":"Hadinugrahaningsih","given":"T.","non-dropping-particle":"","parse-names":false,"suffix":""},{"dropping-particle":"","family":"Soeprijanto","given":"","non-dropping-particle":"","parse-names":false,"suffix":""}],"container-title":"Journal of Physics: Conference Series","id":"ITEM-3","issue":"1","issued":{"date-parts":[["2019","1","1"]]},"page":"012033","publisher":"IOP Publishing","title":"Developing critical and creative thinking skills through STEAM integration in chemistry learning","type":"article-journal","volume":"1156"},"uris":["http://www.mendeley.com/documents/?uuid=0accfd07-3dad-3501-a30e-ae62575ffbf4"]},{"id":"ITEM-4","itemData":{"DOI":"10.1088/1742-6596/1788/1/012027","ISSN":"1742-6596","abstract":"The purpose of the study was to develop and validate the assessment instruments utilized to measure students' analytical thinking ability and chemical literacy on colligative properties. This study was research and development (R&amp;D) implementing the ADDIE model. However, this study was limited to the validation of products. The assessment instrument was developed based on indicators of analytical thinking ability and chemical literacy and contained 15 items of questions as the result. Based on the validation result conducted by 3 validators, it was found that the average score of validation was 94% for the material; 91% for the language, and 91% for the construction. Moreover, the validation of the assessment of analytical thinking ability and chemical literacy was 93.33%. Thus, this assessment instrument was valid and feasible to be used in order to measure the students' analytical thinking ability and chemical literacy on the colligative properties.","author":[{"dropping-particle":"","family":"Yandriani","given":"","non-dropping-particle":"","parse-names":false,"suffix":""},{"dropping-particle":"","family":"Rery","given":"R. U.","non-dropping-particle":"","parse-names":false,"suffix":""},{"dropping-particle":"","family":"Erna","given":"Maria","non-dropping-particle":"","parse-names":false,"suffix":""}],"container-title":"Journal of Physics: Conference Series","id":"ITEM-4","issue":"1","issued":{"date-parts":[["2021","2","1"]]},"page":"012027","publisher":"IOP Publishing","title":"Developing and Validating the Assessment Instruments to Measure Students’ Analytical Thinking Ability and Chemical Literacy on Colligative Properties","type":"article-journal","volume":"1788"},"uris":["http://www.mendeley.com/documents/?uuid=8fc7d8d5-f3da-36a8-a97a-b8d15cc98683"]}],"mendeley":{"formattedCitation":"[1]–[4]","plainTextFormattedCitation":"[1]–[4]","previouslyFormattedCitation":"[1]–[4]"},"properties":{"noteIndex":0},"schema":"https://github.com/citation-style-language/schema/raw/master/csl-citation.json"}</w:instrText>
      </w:r>
      <w:r w:rsidRPr="00EC6C07">
        <w:rPr>
          <w:lang w:val="id-ID"/>
        </w:rPr>
        <w:fldChar w:fldCharType="separate"/>
      </w:r>
      <w:r w:rsidRPr="00EC6C07">
        <w:rPr>
          <w:lang w:val="id-ID"/>
        </w:rPr>
        <w:t>[1]–[4]</w:t>
      </w:r>
      <w:r w:rsidRPr="00EC6C07">
        <w:fldChar w:fldCharType="end"/>
      </w:r>
      <w:r w:rsidRPr="00EC6C07">
        <w:rPr>
          <w:lang w:val="id-ID"/>
        </w:rPr>
        <w:t xml:space="preserve">. For this reason, society needs an understanding of science and technology to keep up with the times </w:t>
      </w:r>
      <w:r w:rsidRPr="00EC6C07">
        <w:rPr>
          <w:lang w:val="id-ID"/>
        </w:rPr>
        <w:fldChar w:fldCharType="begin" w:fldLock="1"/>
      </w:r>
      <w:r w:rsidRPr="00EC6C07">
        <w:rPr>
          <w:lang w:val="id-ID"/>
        </w:rPr>
        <w:instrText>ADDIN CSL_CITATION {"citationItems":[{"id":"ITEM-1","itemData":{"author":[{"dropping-particle":"","family":"Muchtar","given":"Hanifah","non-dropping-particle":"","parse-names":false,"suffix":""}],"id":"ITEM-1","issued":{"date-parts":[["2019"]]},"publisher":"Universitas Pendidikan Indonesia","title":"Kurnia Pengembangan Instrumen Literasi Kimia Siswa SMA Pada Materi Larutan","type":"thesis"},"uris":["http://www.mendeley.com/documents/?uuid=7765370d-e7f9-45b9-b31e-731740185230","http://www.mendeley.com/documents/?uuid=da673ff2-4e12-4267-9605-daed52c6f861","http://www.mendeley.com/documents/?uuid=28589c13-5e2e-4a5d-9f67-ac3283586874"]}],"mendeley":{"formattedCitation":"[5]","plainTextFormattedCitation":"[5]","previouslyFormattedCitation":"[5]"},"properties":{"noteIndex":0},"schema":"https://github.com/citation-style-language/schema/raw/master/csl-citation.json"}</w:instrText>
      </w:r>
      <w:r w:rsidRPr="00EC6C07">
        <w:rPr>
          <w:lang w:val="id-ID"/>
        </w:rPr>
        <w:fldChar w:fldCharType="separate"/>
      </w:r>
      <w:r w:rsidRPr="00EC6C07">
        <w:rPr>
          <w:lang w:val="id-ID"/>
        </w:rPr>
        <w:t>[5]</w:t>
      </w:r>
      <w:r w:rsidRPr="00EC6C07">
        <w:fldChar w:fldCharType="end"/>
      </w:r>
      <w:r w:rsidRPr="00EC6C07">
        <w:rPr>
          <w:lang w:val="id-ID"/>
        </w:rPr>
        <w:t xml:space="preserve">. The 21st century requires four specific skills namely literacy, inventive thinking, effective communication, and high productivity. Literacy includes basic literacy, scientific literacy, economic literacy, technological literacy, visual literacy, information literacy, and multicultural literacy. Someone who has a high level of scientific literacy can understand the history and nature of science, the relationship between science and other disciplines, and the relationship between science and technology and society </w:t>
      </w:r>
      <w:r w:rsidRPr="00EC6C07">
        <w:rPr>
          <w:lang w:val="id-ID"/>
        </w:rPr>
        <w:fldChar w:fldCharType="begin" w:fldLock="1"/>
      </w:r>
      <w:r w:rsidRPr="00EC6C07">
        <w:rPr>
          <w:lang w:val="id-ID"/>
        </w:rPr>
        <w:instrText>ADDIN CSL_CITATION {"citationItems":[{"id":"ITEM-1","itemData":{"DOI":"10.1063/1.5062824","ISBN":"9780735417397","ISSN":"0094-243X","abstract":"This study aims to determine students’ analytical thinking and chemical literacy skills concerning the chemical equilibrium concept. This research was conducted in three state senior high schools i...","author":[{"dropping-particle":"","family":"Ad'Hiya","given":"Eka","non-dropping-particle":"","parse-names":false,"suffix":""},{"dropping-particle":"","family":"Laksono","given":"Endang W.","non-dropping-particle":"","parse-names":false,"suffix":""}],"container-title":"AIP Conference Proceedings","id":"ITEM-1","issue":"1","issued":{"date-parts":[["2018","10","17"]]},"page":"080005","publisher":"AIP Publishing LLC AIP Publishing","title":"Students’ Analytical Thinking Skills and Chemical Literacy Concerning Chemical Equilibrium","type":"article-journal","volume":"2021"},"uris":["http://www.mendeley.com/documents/?uuid=b64721f3-a025-3359-a504-ae68d1b29d98"]},{"id":"ITEM-2","itemData":{"DOI":"10.1016/J.SBSPRO.2012.09.253","ISSN":"18770428","abstract":"To overcome the challenges of the twenty first century in science and technology sector, students need to be equipped with the 21 st century skills to ensure their competitiveness in the globalization era. They are expected to master the 21 st century skills apart of just being excelled in their academic performance. Therefore, it is crucial to incorporate 21 st century skills in science education. 21 st century skills comprised of four main domains namely digital age literacy, inventive thinking, effective communication and high productivity. Scientific literacy is one of the skills required in digital age literacy. It means knowledge and understanding of the scientific concepts and processes required for personal decision-making, participation in civic and cultural affairs, and economic productivity. Scientific literacy is important in our modern society since they are many issues related to science and technology. Basic science process skills include observing, classifying, measuring and using numbers, making inferences, predicting, communicating and using the relations of space and time. While the integrated science process skills consist of interpreting data, operational definition, control variables, make hypotheses and experimenting. Science students have been cultivated by scientific literacy and science process skills through science classes. With these two skills, it is hoped that the science students have developed some skills needed in 21 st century skills. This paper will further explain about the 21 st century skills, scientific literacy and science process skills. It also explains about the intersection of science process skills and 21 st century skills in science education.","author":[{"dropping-particle":"","family":"Turiman","given":"Punia","non-dropping-particle":"","parse-names":false,"suffix":""},{"dropping-particle":"","family":"Omar","given":"Jizah","non-dropping-particle":"","parse-names":false,"suffix":""},{"dropping-particle":"","family":"Daud","given":"Adzliana Mohd","non-dropping-particle":"","parse-names":false,"suffix":""},{"dropping-particle":"","family":"Osman","given":"Kamisah","non-dropping-particle":"","parse-names":false,"suffix":""}],"container-title":"Procedia - Social and Behavioral Sciences","id":"ITEM-2","issued":{"date-parts":[["2012","10"]]},"page":"110-116","publisher":"Elsevier BV","title":"Fostering the 21st Century Skills through Scientific Literacy and Science Process Skills","type":"article-journal","volume":"59"},"uris":["http://www.mendeley.com/documents/?uuid=f934855c-c9f4-3347-8175-47d4d621e4da"]}],"mendeley":{"formattedCitation":"[6], [7]","plainTextFormattedCitation":"[6], [7]","previouslyFormattedCitation":"[6], [7]"},"properties":{"noteIndex":0},"schema":"https://github.com/citation-style-language/schema/raw/master/csl-citation.json"}</w:instrText>
      </w:r>
      <w:r w:rsidRPr="00EC6C07">
        <w:rPr>
          <w:lang w:val="id-ID"/>
        </w:rPr>
        <w:fldChar w:fldCharType="separate"/>
      </w:r>
      <w:r w:rsidRPr="00EC6C07">
        <w:rPr>
          <w:lang w:val="id-ID"/>
        </w:rPr>
        <w:t>[6], [7]</w:t>
      </w:r>
      <w:r w:rsidRPr="00EC6C07">
        <w:fldChar w:fldCharType="end"/>
      </w:r>
      <w:r w:rsidRPr="00EC6C07">
        <w:rPr>
          <w:lang w:val="id-ID"/>
        </w:rPr>
        <w:t xml:space="preserve">. </w:t>
      </w:r>
    </w:p>
    <w:p w14:paraId="7F57B216" w14:textId="77777777" w:rsidR="00EC6C07" w:rsidRPr="00EC6C07" w:rsidRDefault="00EC6C07" w:rsidP="007C3F2E">
      <w:pPr>
        <w:pBdr>
          <w:top w:val="nil"/>
          <w:left w:val="nil"/>
          <w:bottom w:val="nil"/>
          <w:right w:val="nil"/>
          <w:between w:val="nil"/>
        </w:pBdr>
        <w:spacing w:after="120"/>
        <w:ind w:left="0" w:hanging="2"/>
        <w:rPr>
          <w:lang w:val="id-ID"/>
        </w:rPr>
      </w:pPr>
      <w:r w:rsidRPr="00EC6C07">
        <w:rPr>
          <w:lang w:val="id-ID"/>
        </w:rPr>
        <w:t xml:space="preserve">Since the last two decades, scientific literacy has become the main topic in every conversation regarding the goals of science education in schools. Literature in the field of science education also shows that scientific literacy is increasingly being accepted and valued by educators as an expected learning outcome </w:t>
      </w:r>
      <w:r w:rsidRPr="00EC6C07">
        <w:rPr>
          <w:lang w:val="id-ID"/>
        </w:rPr>
        <w:fldChar w:fldCharType="begin" w:fldLock="1"/>
      </w:r>
      <w:r w:rsidRPr="00EC6C07">
        <w:rPr>
          <w:lang w:val="id-ID"/>
        </w:rPr>
        <w:instrText>ADDIN CSL_CITATION {"citationItems":[{"id":"ITEM-1","itemData":{"author":[{"dropping-particle":"","family":"Rahayu","given":"Sri","non-dropping-particle":"","parse-names":false,"suffix":""}],"container-title":"Prosiding Seminar Nasional Kimia UNY","id":"ITEM-1","issued":{"date-parts":[["2017"]]},"page":"183-188","title":"Mengoptimalkan aspek literasi dalam pembelajaran kimia abad 21","type":"paper-conference"},"uris":["http://www.mendeley.com/documents/?uuid=db439f7d-7db9-4a20-bbf0-bde702b44d46","http://www.mendeley.com/documents/?uuid=9d26fbe8-ddf2-409b-9b05-03f6ecf56d64","http://www.mendeley.com/documents/?uuid=572678e5-c093-4bcc-b8a7-650b070d61bb"]},{"id":"ITEM-2","itemData":{"DOI":"10.1016/J.KJSS.2018.06.009","ISSN":"24523151","abstract":"The objective of this study was to investigate the chemical literacy levels of undergraduate engineering students in Faculties of Engineering in Northeastern Thailand. The subjects were 391 undergraduate engineering students who were enrolled in a basic chemistry course in the 2nd semester of the 2012 academic year in the Faculty of Engineering at the North-Eastern University and at the Rajamangala University of Technology Isan in KhonKaen province. The instruments were a chemical literacy test (CLT) and semi-structured interviews. The CLT had 3 assessment formats: 1) multiple-choice CLT, 2) written CLT, and 3) test of chemistry related attitudes. The holistic results of the CLT responses of the engineering students showed that the mean of percentage scores was 43.58 and about three-fifths (61.90%) of the engineering students’ level of chemical literacy was categorized at the “low level”. In addition, the results of semi-structured interview responses of the engineering students (n = 40) showed that more than half (57.5%) of the engineering students’ chemical literacy level was also categorized at the “low level”. The overall chemical literacy of the engineering students was categorized at the “low level”. Hence, it is necessary for educational institutions to develop learning activities for engineering students to achieve higher chemical literacy and to avoid any impact caused by chemical usage applied with a lack of knowledge and understanding and social responsibility.","author":[{"dropping-particle":"","family":"Thummathong","given":"Rungrat","non-dropping-particle":"","parse-names":false,"suffix":""},{"dropping-particle":"","family":"Thathong","given":"Kongsak","non-dropping-particle":"","parse-names":false,"suffix":""}],"container-title":"Kasetsart Journal of Social Sciences","id":"ITEM-2","issue":"3","issued":{"date-parts":[["2018","9","1"]]},"page":"478-487","publisher":"Kasetsart University","title":"Chemical literacy levels of engineering students in Northeastern Thailand","type":"article-journal","volume":"39"},"uris":["http://www.mendeley.com/documents/?uuid=2fab59bd-b274-34ed-9ab2-895e6c72eaa8"]}],"mendeley":{"formattedCitation":"[8], [9]","plainTextFormattedCitation":"[8], [9]","previouslyFormattedCitation":"[8], [9]"},"properties":{"noteIndex":0},"schema":"https://github.com/citation-style-language/schema/raw/master/csl-citation.json"}</w:instrText>
      </w:r>
      <w:r w:rsidRPr="00EC6C07">
        <w:rPr>
          <w:lang w:val="id-ID"/>
        </w:rPr>
        <w:fldChar w:fldCharType="separate"/>
      </w:r>
      <w:r w:rsidRPr="00EC6C07">
        <w:rPr>
          <w:lang w:val="id-ID"/>
        </w:rPr>
        <w:t>[8], [9]</w:t>
      </w:r>
      <w:r w:rsidRPr="00EC6C07">
        <w:fldChar w:fldCharType="end"/>
      </w:r>
      <w:r w:rsidRPr="00EC6C07">
        <w:rPr>
          <w:lang w:val="id-ID"/>
        </w:rPr>
        <w:t xml:space="preserve">. Scientific literacy is also the gateway to scientific and technological progress as well as economic life, which can be achieved through the teaching of science. Currently, scientific literacy is an important issue that influences human decisions. This is proven at the international level in various science education perspectives </w:t>
      </w:r>
      <w:r w:rsidRPr="00EC6C07">
        <w:rPr>
          <w:lang w:val="id-ID"/>
        </w:rPr>
        <w:fldChar w:fldCharType="begin" w:fldLock="1"/>
      </w:r>
      <w:r w:rsidRPr="00EC6C07">
        <w:rPr>
          <w:lang w:val="id-ID"/>
        </w:rPr>
        <w:instrText>ADDIN CSL_CITATION {"citationItems":[{"id":"ITEM-1","itemData":{"author":[{"dropping-particle":"","family":"Thummathong","given":"Rungrat","non-dropping-particle":"","parse-names":false,"suffix":""},{"dropping-particle":"","family":"Hathong","given":"Kongsak T","non-dropping-particle":"","parse-names":false,"suffix":""}],"container-title":"Journal of Turkish Science Education","id":"ITEM-1","issue":"3","issued":{"date-parts":[["2016"]]},"page":"185-198.","title":"Construction of a chemical literacy test for engineering students","type":"article-journal","volume":"13"},"uris":["http://www.mendeley.com/documents/?uuid=fac21d37-45d1-4cad-827d-9789b0937d55","http://www.mendeley.com/documents/?uuid=45539178-5df1-43d7-94cb-875b385cf769","http://www.mendeley.com/documents/?uuid=c70f4c37-2375-40b4-9429-01dd200b20a2"]}],"mendeley":{"formattedCitation":"[10]","plainTextFormattedCitation":"[10]","previouslyFormattedCitation":"[10]"},"properties":{"noteIndex":0},"schema":"https://github.com/citation-style-language/schema/raw/master/csl-citation.json"}</w:instrText>
      </w:r>
      <w:r w:rsidRPr="00EC6C07">
        <w:rPr>
          <w:lang w:val="id-ID"/>
        </w:rPr>
        <w:fldChar w:fldCharType="separate"/>
      </w:r>
      <w:r w:rsidRPr="00EC6C07">
        <w:rPr>
          <w:lang w:val="id-ID"/>
        </w:rPr>
        <w:t>[10]</w:t>
      </w:r>
      <w:r w:rsidRPr="00EC6C07">
        <w:fldChar w:fldCharType="end"/>
      </w:r>
      <w:r w:rsidRPr="00EC6C07">
        <w:rPr>
          <w:lang w:val="id-ID"/>
        </w:rPr>
        <w:t xml:space="preserve">. To overcome this, it is necessary to prepare the next generation who can deal with change with the skills to solve real-world problems. Then the need for scientific literacy  </w:t>
      </w:r>
      <w:r w:rsidRPr="00EC6C07">
        <w:rPr>
          <w:lang w:val="id-ID"/>
        </w:rPr>
        <w:fldChar w:fldCharType="begin" w:fldLock="1"/>
      </w:r>
      <w:r w:rsidRPr="00EC6C07">
        <w:rPr>
          <w:lang w:val="id-ID"/>
        </w:rPr>
        <w:instrText>ADDIN CSL_CITATION {"citationItems":[{"id":"ITEM-1","itemData":{"DOI":"10.12973/EU-JER.9.4.1635","ISSN":"21658714","abstract":"This research aimed at analyzing the influence of ‘Process Oriented Guided Inquiry Learning’ model assisted by realia media, in which it was to improve the scientific literacy and critical thinking skill of primary school students, especially for the material of energy. This quasi-experiment research used single factor independent groups design. The research sample of this research were fourth grade students of SD Inpres Oeba 2 Kupang City, East Nusa Tenggara Province, of which students were in the academic year of 2019/2020. The technique of sample collection was carried out purposive sampling for 2 classes. The IVA class was used as the experimental class (POGIL model assisted by the realia media), in which it consisted of 30 students and the IVB class was used as the control class (expository learning) that consisted of 28 students. The learning was carried out in four meetings. The data of scientific literacy and the results test of critical thinking were collected by means of objective test on the energy material. Multivariate Analysis of Variance (MANOVA) was used to analyze the data using significance level of 0.05. The results indicate that (1) There is a significant difference between the students’ scientific literacy who gain the POGIL learning assisted by the realia media and the students’ scientific literacy who get the expository learning; and (2) There is a significant difference between the critical thinking of students who get POGIL learning assisted by realia media and the students who get the expository learning. It can be concluded that there is a significant difference between the scientific literacy and the students’ critical thinking taught by the POGIL learning that assisted by realia media to the students who use expository learning. Since there is a significant difference, it means that the POGIL learning assisted by realia media has an influence on the students' scientific literacy and critical thinking.","author":[{"dropping-particle":"","family":"Aiman","given":"Ummu","non-dropping-particle":"","parse-names":false,"suffix":""},{"dropping-particle":"","family":"Hasyda","given":"Suryadin","non-dropping-particle":"","parse-names":false,"suffix":""},{"dropping-particle":"","family":"Uslan","given":"","non-dropping-particle":"","parse-names":false,"suffix":""}],"container-title":"European Journal of Educational Research","id":"ITEM-1","issue":"4","issued":{"date-parts":[["2020","10","15"]]},"page":"1635-1647","publisher":"Eurasian Society of Educational Research","title":"The Influence of Process Oriented Guided Inquiry Learning (POGIL) Model Assisted by Realia Media to Improve Scientific Literacy and Critical Thinking Skill of Primary School Students","type":"article-journal","volume":"9"},"uris":["http://www.mendeley.com/documents/?uuid=0550d412-124e-35ac-b22f-2bacb5dbb02e"]}],"mendeley":{"formattedCitation":"[11]","plainTextFormattedCitation":"[11]","previouslyFormattedCitation":"[11]"},"properties":{"noteIndex":0},"schema":"https://github.com/citation-style-language/schema/raw/master/csl-citation.json"}</w:instrText>
      </w:r>
      <w:r w:rsidRPr="00EC6C07">
        <w:rPr>
          <w:lang w:val="id-ID"/>
        </w:rPr>
        <w:fldChar w:fldCharType="separate"/>
      </w:r>
      <w:r w:rsidRPr="00EC6C07">
        <w:rPr>
          <w:lang w:val="id-ID"/>
        </w:rPr>
        <w:t>[11]</w:t>
      </w:r>
      <w:r w:rsidRPr="00EC6C07">
        <w:fldChar w:fldCharType="end"/>
      </w:r>
      <w:r w:rsidRPr="00EC6C07">
        <w:rPr>
          <w:lang w:val="id-ID"/>
        </w:rPr>
        <w:t>.</w:t>
      </w:r>
    </w:p>
    <w:p w14:paraId="6257E482" w14:textId="77777777" w:rsidR="00EC6C07" w:rsidRPr="00EC6C07" w:rsidRDefault="00EC6C07" w:rsidP="007C3F2E">
      <w:pPr>
        <w:pBdr>
          <w:top w:val="nil"/>
          <w:left w:val="nil"/>
          <w:bottom w:val="nil"/>
          <w:right w:val="nil"/>
          <w:between w:val="nil"/>
        </w:pBdr>
        <w:spacing w:after="120"/>
        <w:ind w:left="0" w:hanging="2"/>
        <w:rPr>
          <w:lang w:val="id-ID"/>
        </w:rPr>
      </w:pPr>
      <w:r w:rsidRPr="00EC6C07">
        <w:rPr>
          <w:lang w:val="id-ID"/>
        </w:rPr>
        <w:t xml:space="preserve">Scientific literacy is measured through a PISA study conducted by the OECD (Organization for Economic Cooperation and Development) every three years. The results of the PISA study for the average ability of scientific literacy of Indonesian students from 2000, 2003, 2006, 2009, 2012, 2015, and 2018 were 393, 395, 393, 385, 375, 403, and 396 respectively </w:t>
      </w:r>
      <w:r w:rsidRPr="00EC6C07">
        <w:rPr>
          <w:lang w:val="id-ID"/>
        </w:rPr>
        <w:fldChar w:fldCharType="begin" w:fldLock="1"/>
      </w:r>
      <w:r w:rsidRPr="00EC6C07">
        <w:rPr>
          <w:lang w:val="id-ID"/>
        </w:rPr>
        <w:instrText>ADDIN CSL_CITATION {"citationItems":[{"id":"ITEM-1","itemData":{"author":[{"dropping-particle":"","family":"OECD","given":"","non-dropping-particle":"","parse-names":false,"suffix":""}],"id":"ITEM-1","issued":{"date-parts":[["2019"]]},"title":"PISA 2018 Insight and Interpretations","type":"book"},"uris":["http://www.mendeley.com/documents/?uuid=d1689d84-18e6-31a6-9b45-5d54d1b4eb45"]}],"mendeley":{"formattedCitation":"[12]","plainTextFormattedCitation":"[12]","previouslyFormattedCitation":"[12]"},"properties":{"noteIndex":0},"schema":"https://github.com/citation-style-language/schema/raw/master/csl-citation.json"}</w:instrText>
      </w:r>
      <w:r w:rsidRPr="00EC6C07">
        <w:rPr>
          <w:lang w:val="id-ID"/>
        </w:rPr>
        <w:fldChar w:fldCharType="separate"/>
      </w:r>
      <w:r w:rsidRPr="00EC6C07">
        <w:rPr>
          <w:lang w:val="id-ID"/>
        </w:rPr>
        <w:t>[12]</w:t>
      </w:r>
      <w:r w:rsidRPr="00EC6C07">
        <w:fldChar w:fldCharType="end"/>
      </w:r>
      <w:r w:rsidRPr="00EC6C07">
        <w:rPr>
          <w:lang w:val="id-ID"/>
        </w:rPr>
        <w:t>. The results of students' scientific literacy are still in the low category because the scores obtained are below the average PISA mastery score. This indicates that students</w:t>
      </w:r>
      <w:r w:rsidRPr="00EC6C07">
        <w:rPr>
          <w:lang w:val="en-US"/>
        </w:rPr>
        <w:t xml:space="preserve"> in </w:t>
      </w:r>
      <w:r w:rsidRPr="00EC6C07">
        <w:rPr>
          <w:lang w:val="id-ID"/>
        </w:rPr>
        <w:t>Indonesia have not been able to understand scientific concepts and processes and have not been able to apply the scientific knowledge it has learned in everyday life</w:t>
      </w:r>
      <w:r w:rsidRPr="00EC6C07">
        <w:rPr>
          <w:lang w:val="en-US"/>
        </w:rPr>
        <w:t xml:space="preserve"> </w:t>
      </w:r>
      <w:r w:rsidRPr="00EC6C07">
        <w:rPr>
          <w:lang w:val="id-ID"/>
        </w:rPr>
        <w:fldChar w:fldCharType="begin" w:fldLock="1"/>
      </w:r>
      <w:r w:rsidRPr="00EC6C07">
        <w:rPr>
          <w:lang w:val="id-ID"/>
        </w:rPr>
        <w:instrText>ADDIN CSL_CITATION {"citationItems":[{"id":"ITEM-1","itemData":{"DOI":"10.47492/jip.v1i12.530","author":[{"dropping-particle":"","family":"Sutrisna","given":"Nana","non-dropping-particle":"","parse-names":false,"suffix":""}],"container-title":"Jurnal Inovasi Penelitian","id":"ITEM-1","issue":"12","issued":{"date-parts":[["2021"]]},"page":"2683-2694","title":"Analisis Kemampuan Literasi Sains Peserta Didik SMA Di Kota Sungai Penuh. Jurnal Inovasi Penelitian","type":"article-journal","volume":"1"},"uris":["http://www.mendeley.com/documents/?uuid=49e5b1c6-8f8b-41df-8bcb-4b3ede6ac2ad","http://www.mendeley.com/documents/?uuid=a38ea3ad-8793-4ee3-bed9-02b643e49b95","http://www.mendeley.com/documents/?uuid=c7e8b2bc-c59f-44cf-a322-b7b90508dcae"]}],"mendeley":{"formattedCitation":"[13]","plainTextFormattedCitation":"[13]","previouslyFormattedCitation":"[13]"},"properties":{"noteIndex":0},"schema":"https://github.com/citation-style-language/schema/raw/master/csl-citation.json"}</w:instrText>
      </w:r>
      <w:r w:rsidRPr="00EC6C07">
        <w:rPr>
          <w:lang w:val="id-ID"/>
        </w:rPr>
        <w:fldChar w:fldCharType="separate"/>
      </w:r>
      <w:r w:rsidRPr="00EC6C07">
        <w:rPr>
          <w:lang w:val="id-ID"/>
        </w:rPr>
        <w:t>[13]</w:t>
      </w:r>
      <w:r w:rsidRPr="00EC6C07">
        <w:fldChar w:fldCharType="end"/>
      </w:r>
      <w:r w:rsidRPr="00EC6C07">
        <w:rPr>
          <w:lang w:val="id-ID"/>
        </w:rPr>
        <w:t>.</w:t>
      </w:r>
    </w:p>
    <w:p w14:paraId="60E64C6E" w14:textId="77777777" w:rsidR="00EC6C07" w:rsidRPr="00EC6C07" w:rsidRDefault="00EC6C07" w:rsidP="007C3F2E">
      <w:pPr>
        <w:pBdr>
          <w:top w:val="nil"/>
          <w:left w:val="nil"/>
          <w:bottom w:val="nil"/>
          <w:right w:val="nil"/>
          <w:between w:val="nil"/>
        </w:pBdr>
        <w:spacing w:after="120"/>
        <w:ind w:left="0" w:hanging="2"/>
        <w:rPr>
          <w:lang w:val="id-ID"/>
        </w:rPr>
      </w:pPr>
      <w:r w:rsidRPr="00EC6C07">
        <w:rPr>
          <w:lang w:val="id-ID"/>
        </w:rPr>
        <w:lastRenderedPageBreak/>
        <w:t xml:space="preserve">Scientific literacy is necessary for students to understand the many problems faced by modern society, such as the environment, health, and the economy </w:t>
      </w:r>
      <w:r w:rsidRPr="00EC6C07">
        <w:rPr>
          <w:lang w:val="id-ID"/>
        </w:rPr>
        <w:fldChar w:fldCharType="begin" w:fldLock="1"/>
      </w:r>
      <w:r w:rsidRPr="00EC6C07">
        <w:rPr>
          <w:lang w:val="id-ID"/>
        </w:rPr>
        <w:instrText>ADDIN CSL_CITATION {"citationItems":[{"id":"ITEM-1","itemData":{"DOI":"10.36312/JISIP.V5I1.1575","ISSN":"2656-6753","abstract":"Literasi sains merupakan kemampuan yang diperlukan dalam memahami sains dan menerapkan dalam konsep kehidupan sehari-hari sebagai modal dasar dan potensi dalam menghadapi tantangan diabad 21 yang telah memasuki era revolusi industri 4.0 . Tujuan penelitian ini untuk mengetahui presepsi mahasiswa calon guru tentang literasi sains. Metode yang digunakan adalah deskriptif kuatitatif. Subjek yang digunakan dalam penleitian ini adalah mahasiswa program studi pendidikan fisika dan kimia di Universitas Malikussaleh yang menempuh semester I,III,VII dan IX. Sampel berjumlah 80 orang mahasiswa yang ditetapkan secara random sampling. Instrumen yang digunakan untuk pengumpulan data adalah angket presepsi mahasiswa terhadap literasi sains. Dalam menganalisis skor per indikator dan skor per aspek literasi sains mahasiswa, digunakan teknik konversi dan kategorisasi. Jika skornya 81% - 100% (sangat baik), 61% - 80% (baik), 41% - 60% (cukup), 21% - 40% (kurang), ≤ 20% (sangat kurang). Hasil penelitian diperoleh (1) Presepsi mahasiswa tentang pentingnya literasi sains diterapkan pada pembelajaran diperoleh nilai rata-rata persentase pada setiap aspek literasi sains yaitu aspek pengetahuan sebesar 91.05% dengan kategori sangat penting, aspek penyelidikan sebesar 88,75% dengan kategori sangat penting, aspek cara memperoleh pengetahuan sains sebesar 83,19% dengan kategori sangat penting, aspek interaksi sains teknologi dan masyarakat sebesar 80,42% dengan kategori sangat penting. (2) Kemampuan literasi sains mahasiswa calon guru ditinjau dari aspek-aspek literasi sains diperoleh nilai rata-rata persentase sebesar 64.32% dengan kategori baik. (3) Kemampuan pengetahuan awal mahasiswa terhadap literasi sains diperoleh nilai persentase sebesar 73.24% dengan kategori baik. Jadi dapat disimpulkan bahwa mahasiswa calon guru menganggap sangat diperlukan literasi sains diterapkan dalam pembelajaran sebagai implikasi diperolehnya kemampuan literasi sains yang baik.","author":[{"dropping-particle":"","family":"Muliani","given":"Muliani","non-dropping-particle":"","parse-names":false,"suffix":""},{"dropping-particle":"","family":"Marhami","given":"Marhami","non-dropping-particle":"","parse-names":false,"suffix":""},{"dropping-particle":"","family":"Lukman","given":"Isna Rezkia","non-dropping-particle":"","parse-names":false,"suffix":""}],"container-title":"JISIP (Jurnal Ilmu Sosial dan Pendidikan)","id":"ITEM-1","issue":"1","issued":{"date-parts":[["2021","1","3"]]},"publisher":"Lembaga Penelitian dan Pemberdayaan Masyarakat - LITPAM","title":"Persepsi Mahasiswa Calon Guru Tentang Literasi Sains","type":"article-journal","volume":"5"},"uris":["http://www.mendeley.com/documents/?uuid=105468fe-a862-3caa-aee7-9c79d4880187"]},{"id":"ITEM-2","itemData":{"DOI":"10.21043/THABIEA.V5I1.11719","ISSN":"2655-898X","abstract":"This descriptive research aims to explain the scope of scientific literacy in chemistry textbooks used in Surakarta. This research data are in the form of quantity from 4 categories of scientific literacy with 26 subcategories as indicators of grouping text units in textbook analysis. The data sources in this study were five textbooks for class XI with different publishers. The technique of taking the object of research uses a purposive sampling technique. Based on the results of data analysis based on the category of scientific literacy, the average results of the proportion of scientific literacy are obtained as follows: (1) Science as a body of knowledge was 69.98% (2 ) Science as a way of an investigation by 14.43% (3) Science as a way of thinking by 10.63% (4) Interaction of science with technology and society by 4.98%. The results of the fulfilment of the scientific literacy category in book A have a ratio of the category of science as knowledge: science as a way of investigation: interaction of science, technology, and society: category of science as a way of thinking that is 9:1:1:1. The ratio in book B is 6:2:0:1, the ratio in book C is 4:2:0:1, the ratio in book D is 9:0:0:1, and the ratio in book E is 6:2:1: 1. Therefore, from the results of this study, the recommended textbook for use is the book E because it includes aspects of scientific literacy that are complete and more balanced than the other four books.","author":[{"dropping-particle":"","family":"Pertiwi","given":"Nanda Putri","non-dropping-particle":"","parse-names":false,"suffix":""},{"dropping-particle":"","family":"Nurhayati","given":"Nanik Dwi","non-dropping-particle":"","parse-names":false,"suffix":""},{"dropping-particle":"","family":"Saputro","given":"Sulistyo","non-dropping-particle":"","parse-names":false,"suffix":""}],"container-title":"THABIEA : JOURNAL OF NATURAL SCIENCE TEACHING","id":"ITEM-2","issue":"1","issued":{"date-parts":[["2022","3","1"]]},"page":"17-33","title":"Analysis of Science Literacy Teaching Book Class XI at SMA Negeri Surakarta on Acid-Base Material","type":"article-journal","volume":"5"},"uris":["http://www.mendeley.com/documents/?uuid=30a02c11-d778-391f-af4e-891186b76392"]},{"id":"ITEM-3","itemData":{"DOI":"10.13189/ujer.2018.060625","ISSN":"-2332-320","abstract":"Indonesia is a country that has abundant renewable energy sources, one of which is hydropower that can be utilized as an alternative energy source. However, fossil energy remains as major supplier of energy needs in all sectors of activity. The Education for Environmental Sustainable Development (EESD) approach can be applied in science education to prepare learners with environmental knowledge, especially energy, so students can participate actively in solving various energy issues in the environment. EESD is suitable to be trained to students using the science student worksheet. The objectives of this research were: (1) to develop EESD-based science student worksheet that is theoretically valid and (2) to know the effectiveness of the science student worksheet that is developed to increase scientific literacy. This research used the 4-D Thiagarajan development model which includes Define, Design, Develop, and Disseminate stages. The findings of this study indicated that the science","author":[{"dropping-particle":"","family":"Ekantini","given":"Anita","non-dropping-particle":"","parse-names":false,"suffix":""},{"dropping-particle":"","family":"Wilujeng","given":"Insih","non-dropping-particle":"","parse-names":false,"suffix":""}],"container-title":"Universal Journal of Educational Research","id":"ITEM-3","issue":"6","issued":{"date-parts":[["2018"]]},"page":"1339-1347","publisher":"Horizon Research Publishing. 506 North Garfield Avenue #210, Alhambra, CA 91801. e-mail: editor@hrpub.org; Web site: http://www.hrpub.org","title":"The Development of Science Student Worksheet Based on Education for Environmental Sustainable Development to Enhance Scientific Literacy.","type":"article-journal","volume":"6"},"uris":["http://www.mendeley.com/documents/?uuid=ef28e665-6c02-37a4-bdc5-d4fb906fe34c"]},{"id":"ITEM-4","itemData":{"DOI":"10.11591/IJERE.V8I4.20312","ISSN":"2620-5440","abstract":"Scientific literacy is the ability which must be owned by the students to analyze and apply the concept of science in solving daily life problem. This research aims to know the correlation between scientific literacy and science learning achievement at State Junior High Schools. This research used a quantitative approach with correlational type. The population of this research were 428 grade IX students at State Junior High Schools within the District of Jaluko Muaro Jambi. The samples was 138 students. The technique of selecting samples was random sampling. The instruments used were the test of science literacy and the test of science learning achievement. Hypothesis test was conducted by using rank spearman correlation test with the assistance of SPSS 21. The results show the average score of scientific literacy is 33.7 (medium category) and the average score of science learning achievement is 21.5 (very low category). The result of the correlation test obtains Sig value 0.00 then H o is rejected. It can be concluded that there is a significant correlation between scientific literacy and science learning achievement at State Junior High School within Muaro Jambi District. Science learning is expected to develop students’ science literacy so that it can improve science learning achievement.","author":[{"dropping-particle":"","family":"Jufrida","given":"Jufrida","non-dropping-particle":"","parse-names":false,"suffix":""},{"dropping-particle":"","family":"Basuki","given":"Fibrika Rahmat","non-dropping-particle":"","parse-names":false,"suffix":""},{"dropping-particle":"","family":"Kurniawan","given":"Wawan","non-dropping-particle":"","parse-names":false,"suffix":""},{"dropping-particle":"","family":"Pangestu","given":"Miko Danu","non-dropping-particle":"","parse-names":false,"suffix":""},{"dropping-particle":"","family":"Fitaloka","given":"Olva","non-dropping-particle":"","parse-names":false,"suffix":""}],"container-title":"International Journal of Evaluation and Research in Education (IJERE)","id":"ITEM-4","issue":"4","issued":{"date-parts":[["2019","12","1"]]},"page":"630-636","publisher":"Institute of Advanced Engineering and Science","title":"Scientific Literacy and Science Learning Achievement at Junior High School","type":"article-journal","volume":"8"},"uris":["http://www.mendeley.com/documents/?uuid=fa18499d-a64a-37a0-a34c-bd7c8a041e34"]},{"id":"ITEM-5","itemData":{"DOI":"10.1039/D0RP00066C","ISSN":"11094028","abstract":"Secondary science education plays a key role in students' process to become scientifically literate citizens. However, teaching students to acquire the necessary skills and knowledge to deal with complex societal issues is challenging. This paper reports about a study in which Scrum-a methodology to manage complex projects-was implemented in secondary chemistry classrooms to increase students' conceptual understanding as well as their critical scientific literacy. A quasi-experimental design was used with 198 Grade 11 students from eight different classes. The experimental condition (99 students, 4 classes, 25 groups with 3 or 4 students, 2 teachers) used Scrum methodology during a context-based course on Green Chemistry. The comparison condition (99 students, 4 classes, 29 groups of 3 or 4 students, 3 teachers) completed the same module about Green Chemistry, without using Scrum methodology. At the end of the course students formulated a written advice on the greenest synthesis of adipic acid. A pre-test on prior knowledge of Green Chemistry principles and a post-test on conceptual understanding of the chemistry concepts involved were administered. In addition, the Standard Observed Learning Outcomes taxonomy (SOLO) was used to analyse the quality of the written advices as a measure for students' critical scientific literacy. Students from the experimental condition outperformed their peers from the comparison condition in their conceptual understanding. Moreover, the quality of the advices of students from the experimental condition were rated higher than the quality of advices of students in the comparison condition. These findings are discussed and connected to Scrum methodology as teaching approach to scaffold both students' conceptual understanding and its potential to promote the development of their critical scientific literacy.","author":[{"dropping-particle":"","family":"Vogelzang","given":"Johannes","non-dropping-particle":"","parse-names":false,"suffix":""},{"dropping-particle":"","family":"Admiraal","given":"Wilfried F.","non-dropping-particle":"","parse-names":false,"suffix":""},{"dropping-particle":"","family":"Driel","given":"Jan H.","non-dropping-particle":"Van","parse-names":false,"suffix":""}],"container-title":"Chemistry Education Research and Practice","id":"ITEM-5","issue":"3","issued":{"date-parts":[["2020","6","30"]]},"page":"940-952","publisher":"Royal Society of Chemistry","title":"Effects of Scrum Methodology on Students’ Critical Scientific Literacy: the Case of Green Chemistry","type":"article-journal","volume":"21"},"uris":["http://www.mendeley.com/documents/?uuid=b841b08f-808d-308c-ac68-27190e1e3407"]}],"mendeley":{"formattedCitation":"[2], [14]–[17]","plainTextFormattedCitation":"[2], [14]–[17]","previouslyFormattedCitation":"[2], [14]–[17]"},"properties":{"noteIndex":0},"schema":"https://github.com/citation-style-language/schema/raw/master/csl-citation.json"}</w:instrText>
      </w:r>
      <w:r w:rsidRPr="00EC6C07">
        <w:rPr>
          <w:lang w:val="id-ID"/>
        </w:rPr>
        <w:fldChar w:fldCharType="separate"/>
      </w:r>
      <w:r w:rsidRPr="00EC6C07">
        <w:rPr>
          <w:lang w:val="id-ID"/>
        </w:rPr>
        <w:t>[2], [14]–[17]</w:t>
      </w:r>
      <w:r w:rsidRPr="00EC6C07">
        <w:fldChar w:fldCharType="end"/>
      </w:r>
      <w:r w:rsidRPr="00EC6C07">
        <w:rPr>
          <w:lang w:val="id-ID"/>
        </w:rPr>
        <w:t xml:space="preserve">. Besides that scientific literacy is also the ability to engage with scientific topics and scientific ideas, and the ability to think reflexively </w:t>
      </w:r>
      <w:r w:rsidRPr="00EC6C07">
        <w:rPr>
          <w:lang w:val="id-ID"/>
        </w:rPr>
        <w:fldChar w:fldCharType="begin" w:fldLock="1"/>
      </w:r>
      <w:r w:rsidRPr="00EC6C07">
        <w:rPr>
          <w:lang w:val="id-ID"/>
        </w:rPr>
        <w:instrText>ADDIN CSL_CITATION {"citationItems":[{"id":"ITEM-1","itemData":{"DOI":"10.1088/1742-6596/947/1/012049","ISSN":"1742-6596","abstract":"The purpose of this research is to describe the effectiveness of guided inquiry-based learning material to improve students' science literacy skills on solubility and solubility product concepts. This study used Research and Development (R&amp;D) design and was implemented to the 11th graders of Muhammadiyah 4 Senior High School Surabaya in 2016/2017 academic year with one group pre-test and post-test design. The data collection techniques used were validation, observation, test, and questionnaire. The results of this research showed that the students' science literacy skills are different after implementation of guided inquiry-based learning material. The guided inquiry-based learning material is effective to improve students' science literacy skills on solubility and solubility product concepts by getting N-gain score with medium and high category. This improvement caused by the developed learning material such as lesson plan, student worksheet, and science literacy skill tests were categorized as valid and very valid. In addition, each of the learning phases in lesson plan has been well implemented. Therefore, it can be concluded that the guided inquiry-based learning material are effective to improve students' science literacy skills on solubility and solubility product concepts in senior high school.","author":[{"dropping-particle":"V.","family":"Aulia","given":"E.","non-dropping-particle":"","parse-names":false,"suffix":""},{"dropping-particle":"","family":"Poedjiastoeti","given":"S.","non-dropping-particle":"","parse-names":false,"suffix":""},{"dropping-particle":"","family":"Agustini","given":"R.","non-dropping-particle":"","parse-names":false,"suffix":""}],"container-title":"Journal of Physics: Conference Series","id":"ITEM-1","issue":"1","issued":{"date-parts":[["2018","1","1"]]},"page":"012049","publisher":"IOP Publishing","title":"The Effectiveness of Guided Inquiry-Based Learning Material on Students’ Science Literacy Skills","type":"article-journal","volume":"947"},"uris":["http://www.mendeley.com/documents/?uuid=468c28ef-7b11-3b79-a07e-bd6da38caa72"]},{"id":"ITEM-2","itemData":{"DOI":"10.29333/iji.2019.12442a","ISSN":"-1694-609","abstract":"This study aimed to analyse the influence of web-based learning and learning independence toward student's scientific literacy on chemistry learning of molecule shapes. This study was conducted in a private secondary school in Jakarta, Indonesia in the odd semester of the 2018/2019 academic year. The research method used was a quasi-experiment design treatment by level 2x2. The research participants were 32 students from a 10th grade Science class consisting of 16 students from an experimental group and the other 16 students from a control class chosen by a simple random sampling technique. In the experimental class applied web media learning was used, while in the control class used applied traditional media. The test instruments used in this study were a learning independence questionnaire and a science literacy test. The results of the study showed that web media positively influenced science literacy compared to traditional media. A connection between the use of web media and","author":[{"dropping-particle":"","family":"Cahyana","given":"Ucu","non-dropping-particle":"","parse-names":false,"suffix":""},{"dropping-particle":"","family":"Supatmi","given":"Sri","non-dropping-particle":"","parse-names":false,"suffix":""},{"dropping-particle":"","family":"Erdawati","given":"","non-dropping-particle":"","parse-names":false,"suffix":""},{"dropping-particle":"","family":"Rahmawati","given":"Yuli","non-dropping-particle":"","parse-names":false,"suffix":""}],"container-title":"International Journal of Instruction","id":"ITEM-2","issue":"4","issued":{"date-parts":[["2019","10"]]},"page":"655-668","publisher":"International Journal of Instruction. Eskisehir Osmangazi University, Faculty of Education, Eskisehir, 26480, Turkey. e-mail: iji@ogu.edu.tr; Web site: http://www.e-iji.net","title":"The Influence of Web-Based Learning and Learning Independence toward Student's Scientific Literacy in Chemistry Course.","type":"article-journal","volume":"12"},"uris":["http://www.mendeley.com/documents/?uuid=6dabb2c6-5ea6-32ad-a745-b371bfed2f47"]}],"mendeley":{"formattedCitation":"[18], [19]","plainTextFormattedCitation":"[18], [19]","previouslyFormattedCitation":"[18], [19]"},"properties":{"noteIndex":0},"schema":"https://github.com/citation-style-language/schema/raw/master/csl-citation.json"}</w:instrText>
      </w:r>
      <w:r w:rsidRPr="00EC6C07">
        <w:rPr>
          <w:lang w:val="id-ID"/>
        </w:rPr>
        <w:fldChar w:fldCharType="separate"/>
      </w:r>
      <w:r w:rsidRPr="00EC6C07">
        <w:rPr>
          <w:lang w:val="id-ID"/>
        </w:rPr>
        <w:t>[18], [19]</w:t>
      </w:r>
      <w:r w:rsidRPr="00EC6C07">
        <w:fldChar w:fldCharType="end"/>
      </w:r>
      <w:r w:rsidRPr="00EC6C07">
        <w:rPr>
          <w:lang w:val="id-ID"/>
        </w:rPr>
        <w:t xml:space="preserve">. Science is a collection of knowledge resulting from research that is comprehensively designed into knowledge that is grouped based on scientific disciplines such as physics, biology, and chemistry </w:t>
      </w:r>
      <w:r w:rsidRPr="00EC6C07">
        <w:rPr>
          <w:lang w:val="id-ID"/>
        </w:rPr>
        <w:fldChar w:fldCharType="begin" w:fldLock="1"/>
      </w:r>
      <w:r w:rsidRPr="00EC6C07">
        <w:rPr>
          <w:lang w:val="id-ID"/>
        </w:rPr>
        <w:instrText>ADDIN CSL_CITATION {"citationItems":[{"id":"ITEM-1","itemData":{"DOI":"10.15294/jpii.v8i2.19261","ISSN":"20894392","abstract":"The low scientific literacy index of Indonesian students is due to lack of attention to socio-cultural environment. Also, there are still many contents, the context, and processes in chemistry learning that have not been achieved as learning resources for developing the domain of scientific literacy into four main areas. They are science content, competence, or science process, the context of the application of science and attitude. This study intended to develop scientific literacy through ethnoscience pedagogic in chemistry learning. The method of this study was qualitative descriptive with the retrieval of data through direct observation, questionnaires, and interviews. The results of the study showed that the needs of: (1) the curriculum emphasis on the development of chemistry literacy for students; 2) the skills of chemistry lecturers in designing learning programs by using local potential in their respective regions; (3) the early discussion on the material coverage the basic concepts of chemistry; and (4) the emphasis not only on chemistry content but also on context, processes, and attitudes. Thus it can be concluded that the development of scientific literacy needs to be done by focusing on the preparation of future generations of scientific literacy with curriculum content that pays attention to culture and daily life to make it more contextual.","author":[{"dropping-particle":"","family":"Dewi","given":"C. A.","non-dropping-particle":"","parse-names":false,"suffix":""},{"dropping-particle":"","family":"Khery","given":"Y.","non-dropping-particle":"","parse-names":false,"suffix":""},{"dropping-particle":"","family":"Erna","given":"M.","non-dropping-particle":"","parse-names":false,"suffix":""}],"container-title":"Jurnal Pendidikan IPA Indonesia","id":"ITEM-1","issue":"2","issued":{"date-parts":[["2019"]]},"page":"279-287","title":"An Ethnoscience Study in Chemistry Learning to Develop Scientific Literacy","type":"article-journal","volume":"8"},"uris":["http://www.mendeley.com/documents/?uuid=fb9babed-1130-46b5-83c7-eb6648c6921e"]}],"mendeley":{"formattedCitation":"[20]","plainTextFormattedCitation":"[20]","previouslyFormattedCitation":"[20]"},"properties":{"noteIndex":0},"schema":"https://github.com/citation-style-language/schema/raw/master/csl-citation.json"}</w:instrText>
      </w:r>
      <w:r w:rsidRPr="00EC6C07">
        <w:rPr>
          <w:lang w:val="id-ID"/>
        </w:rPr>
        <w:fldChar w:fldCharType="separate"/>
      </w:r>
      <w:r w:rsidRPr="00EC6C07">
        <w:rPr>
          <w:lang w:val="id-ID"/>
        </w:rPr>
        <w:t>[20]</w:t>
      </w:r>
      <w:r w:rsidRPr="00EC6C07">
        <w:fldChar w:fldCharType="end"/>
      </w:r>
      <w:r w:rsidRPr="00EC6C07">
        <w:rPr>
          <w:lang w:val="id-ID"/>
        </w:rPr>
        <w:t>. To understand the various components of scientific literacy, it is necessary to study the unique components of literacy in various science subjects, one of which is chemistry which is commonly known as chemical literacy.</w:t>
      </w:r>
    </w:p>
    <w:p w14:paraId="7E0F05CD" w14:textId="77777777" w:rsidR="00EC6C07" w:rsidRPr="00EC6C07" w:rsidRDefault="00EC6C07" w:rsidP="007C3F2E">
      <w:pPr>
        <w:pBdr>
          <w:top w:val="nil"/>
          <w:left w:val="nil"/>
          <w:bottom w:val="nil"/>
          <w:right w:val="nil"/>
          <w:between w:val="nil"/>
        </w:pBdr>
        <w:spacing w:after="120"/>
        <w:ind w:left="0" w:hanging="2"/>
        <w:rPr>
          <w:lang w:val="id-ID"/>
        </w:rPr>
      </w:pPr>
      <w:r w:rsidRPr="00EC6C07">
        <w:rPr>
          <w:lang w:val="id-ID"/>
        </w:rPr>
        <w:t xml:space="preserve">Chemical literacy is a student's ability to identify, analyze, and process chemical concepts to solve everyday problems and scientifically communicate chemical phenomena that occur around them. </w:t>
      </w:r>
      <w:r w:rsidRPr="00EC6C07">
        <w:rPr>
          <w:lang w:val="id-ID"/>
        </w:rPr>
        <w:fldChar w:fldCharType="begin" w:fldLock="1"/>
      </w:r>
      <w:r w:rsidRPr="00EC6C07">
        <w:rPr>
          <w:lang w:val="id-ID"/>
        </w:rPr>
        <w:instrText>ADDIN CSL_CITATION {"citationItems":[{"id":"ITEM-1","itemData":{"DOI":"10.15294/jipk.v12i2.15480","ISSN":"2503-1244","abstract":"This study aims to analyze the ability of students' chemical literacy through the application of inquiry model containing ethnosciences on salt hydrolysis material. The research method used is a case study with One-Shot Study Case research design. The sampling of this research using purposive sampling technique. The data collected using test method and questionnaire method. The test method is a matter of chemical literacy in the form of multipel choice with the number of questions as many as 25 items that have been tested before the validity and reliability. The test method aims to determine the ability of students' chemistry literacy on aspects of content, context, and competence, and questionnaire methods to determine the attitude of learners to chemistry. The results showed that the average ability of chemical literacy of learners in content, context, and competence are in the category less, while for the attitude aspects of learners to chemistry in very good category. The results concluded that after the application of inquiry model containing ethnochemical ability of chemistry literacy learners are in category enough.","author":[{"dropping-particle":"","family":"Imansari","given":"Maulinda","non-dropping-particle":"","parse-names":false,"suffix":""},{"dropping-particle":"","family":"Sudarmin","given":"","non-dropping-particle":"","parse-names":false,"suffix":""},{"dropping-particle":"","family":"Sumarni","given":"Woro","non-dropping-particle":"","parse-names":false,"suffix":""}],"container-title":"Jurnal Inovasi Pendidikan Kimia","id":"ITEM-1","issue":"2","issued":{"date-parts":[["2018"]]},"page":"2201-2211","title":"Analisis Literasi Kimia Peserta Didik Melalui Pembelajaran Inkuiri Terbimbing Bermuatan Etnosains","type":"article-journal","volume":"12"},"uris":["http://www.mendeley.com/documents/?uuid=f1a14408-3a32-4820-a305-9f5832d00810","http://www.mendeley.com/documents/?uuid=504b440c-52a3-4f69-b3fb-8334e58f184e"]},{"id":"ITEM-2","itemData":{"DOI":"10.21831/JIPI.V2I1.10269","ISSN":"2477-4820","abstract":"Penelitian ini bertujuan untuk mengetahui pengembangan, kelayakan dan efektifitas SSP kimia berbasis pendidikan berkelanjutan untuk meningkatkan literasi kimia dan kesadaran terhadap lingkungan peserta didik SMA. Model pengembangan diadaptasi dari model Dick &amp;amp; Carey dengan subjek coba produk pada peserta didik kelas X SMA Negeri 11 Yogyakarta. Instrumen pengumpulan data meliputi lembar validasi, tes literasi kimia berformat benar-salah beralasan, lembar penilaian diri dan lembar penilaian antar teman terkait kesadaran terhadap lingkungan. SSP kimia divalidasi secara kualitatif dan kuantitatif. Hasil penelitian menunjukkan bahwa: (1) SSP kimia berbasis pendidikan berkelanjutan yang dikembangkan memiliki karakteristik yang meliputi pengembangan melalui model  experiential learning  pada materi hidrokarbon dan indikator literasi kimia maupun kesadaran terhadap lingkungan diadaptasi dari  framework PISA 2015;  serta   (2)   SSP kimia yang dikembangkan layak digunakan dengan kategori  sangat baik  serta  efektif  untuk meningkatkan literasi kimia dan kesadaran terhadap lingkungan peserta didik SMA berdasarkan uji Kruskal-Wallis.   Kata Kunci : SSP, pendidikan berkelanjutan, experiential learning, literasi kimia, kesadaran terhadap lingkungan      Developing a Chemistry Subject Specific Pedagogy Based on Sustainability Education to Enhance Chemical Literacy and Environmental Awareness         Abstract   The study aims to reveal the developing, the appropriateness and the effectiveness of a chemistry subject specific pedagogy based on sustainability education to enhance chemical literacy and environmental awareness of senior high school students. Developing model adapted from Dick &amp;amp; Carey and the trial of this research product was conducted at SMA Negeri 11 Yogyakarta grade 10 th  students. The instruments for data collection included validation instrument, a true-false reasoning chemical literacy test, environmental awareness self assessment and peer assessment. The product was validated as qualitative and quatitative validation. The results of research shows: (1) the features of chemistry subject specific pedagogy based on sustainability education is using experiential learning was taught to hydrocarbons and the indicators for chemical literacy test and environmental awareness adapted from framework PISA 2015; and (2) the chemistry subject specific pedagogy based on sustainability education is valid to use with very good category and effective to enh…","author":[{"dropping-particle":"","family":"Perkasa","given":"Magfirah","non-dropping-particle":"","parse-names":false,"suffix":""},{"dropping-particle":"","family":"Aznam","given":"Nurfina","non-dropping-particle":"","parse-names":false,"suffix":""}],"container-title":"Jurnal Inovasi Pendidikan IPA","id":"ITEM-2","issue":"1","issued":{"date-parts":[["2016","4","23"]]},"page":"46-57","publisher":"Universitas Negeri Yogyakarta","title":"Pengembangan SSP kimia berbasis pendidikan berkelanjutan untuk meningkatkan literasi kimia dan kesadaran terhadap lingkungan","type":"article-journal","volume":"2"},"uris":["http://www.mendeley.com/documents/?uuid=348624f9-a891-3601-a3a4-babc1dce5d2a"]},{"id":"ITEM-3","itemData":{"DOI":"10.34312/JJEC.V4I2.15338","ISSN":"2656-6427","abstract":"Penelitian ini menggunakan pendekatan kuantitatif dengan jenis penelitian quasy eksperiment desain dan menggunakan rancangan nonequivalent control group design. Populasi penelitian ini siswa kelas X SMA Negeri 3 Putra Bangsa dan sampel penelitian terdiri dari dua kelas yaitu X IPA 1 sebagai kelas eksperimen dengan jumlah 25 siswa dan kelas X IPA 2 sebanyak 25 siswa sebagai kelas kontrol. Teknik pengambilan sampel dengan menggunakan purposive sampling yaitu teknik pengambilan sampel dengan pertimbangan tertentu. Instrumen penelitian yang digunakan untuk menilai kemampuan literasi kimia menggunakan soal tes yang sudah diuji validitas, reliabilitas, tingkat kesukaran dan daya pembeda, sedangkan untuk menilai keterampilan proses sains digunakan lembar observasi. Data hasil penelitian dianalisis menggunakan bantuan program komputer SPSS. Hasil pengujian menggunakan independent sample t test diperoleh nilai sig. (2-tailed) sebesar 0,000 &lt; 0,05. Berdasarkan hasil pengujian tersebut dapat disimpulkan bahwa terdapat pengaruh strategi POGIL terhadap literasi kimia dan kemampuan proses sains siswa pada materi ikatan kimia di SMA Negeri 3 Putra Bangsa Lhoksukon. Hasil analisis menunjukkan adanya pengaruh posistif strategi POGIL terhadap literasi kimia dan kemampuan proses sains siswa.","author":[{"dropping-particle":"","family":"Mellyzar","given":"Mellyzar","non-dropping-particle":"","parse-names":false,"suffix":""},{"dropping-particle":"","family":"Lukman","given":"Isna Rezkia","non-dropping-particle":"","parse-names":false,"suffix":""},{"dropping-particle":"","family":"Busyraturrahmi","given":"Busyraturrahmi","non-dropping-particle":"","parse-names":false,"suffix":""}],"container-title":"Jambura Journal of Educational Chemistry","id":"ITEM-3","issue":"2","issued":{"date-parts":[["2022","8","10"]]},"page":"70-76","publisher":"Universitas Negeri Gorontalo","title":"Pengaruh Strategi Process Oriented Guided Inquiry Learning (POGIL) Terhadap Kemampuan Proses Sains dan Literasi Kimia","type":"article-journal","volume":"4"},"uris":["http://www.mendeley.com/documents/?uuid=32a50f7e-a132-39ad-87e1-14d39a0a29a7"]}],"mendeley":{"formattedCitation":"[21]–[23]","plainTextFormattedCitation":"[21]–[23]","previouslyFormattedCitation":"[21]–[23]"},"properties":{"noteIndex":0},"schema":"https://github.com/citation-style-language/schema/raw/master/csl-citation.json"}</w:instrText>
      </w:r>
      <w:r w:rsidRPr="00EC6C07">
        <w:rPr>
          <w:lang w:val="id-ID"/>
        </w:rPr>
        <w:fldChar w:fldCharType="separate"/>
      </w:r>
      <w:r w:rsidRPr="00EC6C07">
        <w:rPr>
          <w:lang w:val="id-ID"/>
        </w:rPr>
        <w:t>[21]–[23]</w:t>
      </w:r>
      <w:r w:rsidRPr="00EC6C07">
        <w:fldChar w:fldCharType="end"/>
      </w:r>
      <w:r w:rsidRPr="00EC6C07">
        <w:rPr>
          <w:lang w:val="id-ID"/>
        </w:rPr>
        <w:t xml:space="preserve">. So someone who has chemical literacy must understand the basic concepts of science/chemistry </w:t>
      </w:r>
      <w:r w:rsidRPr="00EC6C07">
        <w:rPr>
          <w:lang w:val="id-ID"/>
        </w:rPr>
        <w:fldChar w:fldCharType="begin" w:fldLock="1"/>
      </w:r>
      <w:r w:rsidRPr="00EC6C07">
        <w:rPr>
          <w:lang w:val="id-ID"/>
        </w:rPr>
        <w:instrText>ADDIN CSL_CITATION {"citationItems":[{"id":"ITEM-1","itemData":{"author":[{"dropping-particle":"","family":"Shwartz","given":"Yael","non-dropping-particle":"","parse-names":false,"suffix":""},{"dropping-particle":"","family":"Ben-Zvi","given":"Ruth","non-dropping-particle":"","parse-names":false,"suffix":""},{"dropping-particle":"","family":"Hofstein","given":"Avi","non-dropping-particle":"","parse-names":false,"suffix":""}],"container-title":"Journal of Chemical Education","id":"ITEM-1","issue":"10","issued":{"date-parts":[["2006"]]},"page":"1557","title":"Chemical literacy: What does this mean to scientists and school teachers?","type":"article-journal","volume":"83"},"uris":["http://www.mendeley.com/documents/?uuid=cc424a4a-2f2c-4193-a494-ba4dac9f52b1","http://www.mendeley.com/documents/?uuid=2df06ac1-bc1e-47db-ad91-9ffab92c4aab","http://www.mendeley.com/documents/?uuid=dce90978-2977-4bb2-ac04-6ed61847558c"]},{"id":"ITEM-2","itemData":{"DOI":"10.14221/ajte.2014v39n1.5","author":[{"dropping-particle":"","family":"Celik","given":"Suat","non-dropping-particle":"","parse-names":false,"suffix":""}],"container-title":"Australian Journal of Teacher Education","id":"ITEM-2","issue":"1","issued":{"date-parts":[["2014"]]},"page":"39","title":"Chemical Literacy Levels of Science and Mathematics Teacher Candidates","type":"article-journal","volume":"39"},"uris":["http://www.mendeley.com/documents/?uuid=7bb982f1-5172-339e-9992-1163772da709"]}],"mendeley":{"formattedCitation":"[24], [25]","plainTextFormattedCitation":"[24], [25]","previouslyFormattedCitation":"[24], [25]"},"properties":{"noteIndex":0},"schema":"https://github.com/citation-style-language/schema/raw/master/csl-citation.json"}</w:instrText>
      </w:r>
      <w:r w:rsidRPr="00EC6C07">
        <w:rPr>
          <w:lang w:val="id-ID"/>
        </w:rPr>
        <w:fldChar w:fldCharType="separate"/>
      </w:r>
      <w:r w:rsidRPr="00EC6C07">
        <w:rPr>
          <w:lang w:val="id-ID"/>
        </w:rPr>
        <w:t>[24], [25]</w:t>
      </w:r>
      <w:r w:rsidRPr="00EC6C07">
        <w:fldChar w:fldCharType="end"/>
      </w:r>
      <w:r w:rsidRPr="00EC6C07">
        <w:rPr>
          <w:lang w:val="id-ID"/>
        </w:rPr>
        <w:t xml:space="preserve">. Someone who has good chemical literacy skills can apply aspects of chemical literacy skills, namely the ability to explain events in everyday life in chemical concepts; the ability to solve problems in everyday life by using an understanding of chemistry, as well as the ability to understand and apply chemical applications in everyday life  </w:t>
      </w:r>
      <w:r w:rsidRPr="00EC6C07">
        <w:rPr>
          <w:lang w:val="id-ID"/>
        </w:rPr>
        <w:fldChar w:fldCharType="begin" w:fldLock="1"/>
      </w:r>
      <w:r w:rsidRPr="00EC6C07">
        <w:rPr>
          <w:lang w:val="id-ID"/>
        </w:rPr>
        <w:instrText>ADDIN CSL_CITATION {"citationItems":[{"id":"ITEM-1","itemData":{"DOI":"10.1088/1742-6596/1233/1/012026","ISSN":"1742-6596","abstract":"Chemical literacy is an ability that is important for students to have in the current educational era. This study aims to measure the ability of chemical literacy of high school students by using questionnaires and questions through investigation. This research was a qualitative descriptive study with samples engaging 100 students from Surakarta and Boyolali High Schools. This study investigated the achievement of the ability of chemical literacy of high school students in class XI and XII for the material of electrolyte and non-electrolyte solutions. The measured chemical literacy abilities included: a) nominal literacy (recognizing the concept of chemistry); b) functional literacy (defining key concepts); c) conceptual literacy (using chemical understanding to explain the phenomena of everyday life); and d) multidimensional literacy (using the understanding of chemistry to analyze information provided in short articles or other reading sources). The test instruments used were questionnaires, choice questions, and open-ended questions supplemented with interviews to obtain the data on the concept of students' chemical literacy. The results of the study found that students were able to explain the concept of chemistry at the macroscopic level, but in the submicroscopic level the students' ability was still low. This showed that students' chemical literacy skills at the conceptual level and multi-dimensional literacy were still less. The findings of this study can help design learning strategies and teacher readiness in supporting students to develop students' chemical literacy skills.","author":[{"dropping-particle":"","family":"Fahmina","given":"Shifi Syarifa","non-dropping-particle":"","parse-names":false,"suffix":""},{"dropping-particle":"","family":"Indriyanti","given":"N. Y.","non-dropping-particle":"","parse-names":false,"suffix":""},{"dropping-particle":"","family":"Setyowati","given":"W. A.E.","non-dropping-particle":"","parse-names":false,"suffix":""},{"dropping-particle":"","family":"Masykuri","given":"M.","non-dropping-particle":"","parse-names":false,"suffix":""},{"dropping-particle":"","family":"Yamtinah","given":"S.","non-dropping-particle":"","parse-names":false,"suffix":""}],"container-title":"Journal of Physics: Conference Series","id":"ITEM-1","issue":"1","issued":{"date-parts":[["2019","6","1"]]},"page":"012026","publisher":"IOP Publishing","title":"Dimension of Chemical Literacy and its Influence in Chemistry Learning","type":"article-journal","volume":"1233"},"uris":["http://www.mendeley.com/documents/?uuid=e7000157-e56e-361f-bdd8-1776a91dd3c5"]},{"id":"ITEM-2","itemData":{"author":[{"dropping-particle":"","family":"Shwartz","given":"Yael","non-dropping-particle":"","parse-names":false,"suffix":""},{"dropping-particle":"","family":"Ben-Zvi","given":"Ruth","non-dropping-particle":"","parse-names":false,"suffix":""},{"dropping-particle":"","family":"Hofstein","given":"Avi","non-dropping-particle":"","parse-names":false,"suffix":""}],"container-title":"Journal of Chemical Education","id":"ITEM-2","issue":"10","issued":{"date-parts":[["2006"]]},"page":"1557","title":"Chemical literacy: What does this mean to scientists and school teachers?","type":"article-journal","volume":"83"},"uris":["http://www.mendeley.com/documents/?uuid=dce90978-2977-4bb2-ac04-6ed61847558c"]}],"mendeley":{"formattedCitation":"[24], [26]","plainTextFormattedCitation":"[24], [26]","previouslyFormattedCitation":"[24], [26]"},"properties":{"noteIndex":0},"schema":"https://github.com/citation-style-language/schema/raw/master/csl-citation.json"}</w:instrText>
      </w:r>
      <w:r w:rsidRPr="00EC6C07">
        <w:rPr>
          <w:lang w:val="id-ID"/>
        </w:rPr>
        <w:fldChar w:fldCharType="separate"/>
      </w:r>
      <w:r w:rsidRPr="00EC6C07">
        <w:rPr>
          <w:lang w:val="id-ID"/>
        </w:rPr>
        <w:t>[24], [26]</w:t>
      </w:r>
      <w:r w:rsidRPr="00EC6C07">
        <w:fldChar w:fldCharType="end"/>
      </w:r>
      <w:r w:rsidRPr="00EC6C07">
        <w:rPr>
          <w:lang w:val="id-ID"/>
        </w:rPr>
        <w:t xml:space="preserve">. This condition encourages the need to make efforts to improve the learning of science (chemistry) in schools gradually and continuously. Efforts to improve the quality of learning in schools need to be supported by information about the extent to which students' chemical literacy achievements are viewed from its aspects and must also be adjusted to the goals of Indonesia's national education itself </w:t>
      </w:r>
      <w:r w:rsidRPr="00EC6C07">
        <w:rPr>
          <w:lang w:val="id-ID"/>
        </w:rPr>
        <w:fldChar w:fldCharType="begin" w:fldLock="1"/>
      </w:r>
      <w:r w:rsidRPr="00EC6C07">
        <w:rPr>
          <w:lang w:val="id-ID"/>
        </w:rPr>
        <w:instrText>ADDIN CSL_CITATION {"citationItems":[{"id":"ITEM-1","itemData":{"author":[{"dropping-particle":"","family":"Asyhari","given":"Ardian","non-dropping-particle":"","parse-names":false,"suffix":""}],"container-title":"Jurnal Ilmiah Pendidikan Fisika Al-Biruni","id":"ITEM-1","issue":"2","issued":{"date-parts":[["2015"]]},"page":"179-191","title":"Profil peningkatan kemampuan literasi sains siswa melalui pembelajaran saintifik","type":"article-journal","volume":"4"},"uris":["http://www.mendeley.com/documents/?uuid=8e918480-950b-48ee-9d3c-05774c72db50","http://www.mendeley.com/documents/?uuid=22a1110f-1833-4f22-9f1f-5d0ae6f52371","http://www.mendeley.com/documents/?uuid=bc9e5cdb-5bfc-41e3-b210-524e462f4529"]}],"mendeley":{"formattedCitation":"[27]","plainTextFormattedCitation":"[27]","previouslyFormattedCitation":"[27]"},"properties":{"noteIndex":0},"schema":"https://github.com/citation-style-language/schema/raw/master/csl-citation.json"}</w:instrText>
      </w:r>
      <w:r w:rsidRPr="00EC6C07">
        <w:rPr>
          <w:lang w:val="id-ID"/>
        </w:rPr>
        <w:fldChar w:fldCharType="separate"/>
      </w:r>
      <w:r w:rsidRPr="00EC6C07">
        <w:rPr>
          <w:lang w:val="id-ID"/>
        </w:rPr>
        <w:t>[27]</w:t>
      </w:r>
      <w:r w:rsidRPr="00EC6C07">
        <w:fldChar w:fldCharType="end"/>
      </w:r>
      <w:r w:rsidRPr="00EC6C07">
        <w:rPr>
          <w:lang w:val="id-ID"/>
        </w:rPr>
        <w:t xml:space="preserve">. </w:t>
      </w:r>
    </w:p>
    <w:p w14:paraId="56618895" w14:textId="215E949E" w:rsidR="00EC6C07" w:rsidRDefault="00EC6C07" w:rsidP="007C3F2E">
      <w:pPr>
        <w:pBdr>
          <w:top w:val="nil"/>
          <w:left w:val="nil"/>
          <w:bottom w:val="nil"/>
          <w:right w:val="nil"/>
          <w:between w:val="nil"/>
        </w:pBdr>
        <w:spacing w:after="120"/>
        <w:ind w:left="0" w:hanging="2"/>
      </w:pPr>
      <w:r w:rsidRPr="00EC6C07">
        <w:rPr>
          <w:lang w:val="id-ID"/>
        </w:rPr>
        <w:t>Assessment literacy emerged as an early contribution to the general education literature</w:t>
      </w:r>
      <w:r w:rsidRPr="00EC6C07">
        <w:rPr>
          <w:lang w:val="en-US"/>
        </w:rPr>
        <w:t xml:space="preserve"> </w:t>
      </w:r>
      <w:r w:rsidRPr="00EC6C07">
        <w:rPr>
          <w:lang w:val="id-ID"/>
        </w:rPr>
        <w:fldChar w:fldCharType="begin" w:fldLock="1"/>
      </w:r>
      <w:r w:rsidRPr="00EC6C07">
        <w:rPr>
          <w:lang w:val="id-ID"/>
        </w:rPr>
        <w:instrText>ADDIN CSL_CITATION {"citationItems":[{"id":"ITEM-1","itemData":{"DOI":"10.1002/9781405198431.WBEAL0605","abstract":"Language assessment literacy forms the knowledge base needed to conduct language assessment procedures, that is, to design, administer, interpret, utilize, and report language assessment data for different purposes. The term is derived from the generic assessment literacy concept which refers to the knowledge and skills required for performing assessment-related actions (Stiggins, 1991; Webb, 2002). Language assessment literacy encompasses not only familiarity with tools and procedures for evaluating students' language abilities, but additional components, particularly the ability to render apt feedback so as to effectively direct learners toward setting and reaching future learning targets. Furthermore, assessment literate professionals are also aware of the ethical aspects involved in the assessment process and of the possible ramifications of putting assessment-based decisions into practice, hence consequential validity (Messick, 1989).","author":[{"dropping-particle":"","family":"Inbar-Lourie","given":"Ofra","non-dropping-particle":"","parse-names":false,"suffix":""}],"container-title":"The Encyclopedia of Applied Linguistics","id":"ITEM-1","issued":{"date-parts":[["2012","11","5"]]},"publisher":"John Wiley &amp; Sons, Ltd","title":"Language Assessment Literacy","type":"article-journal"},"uris":["http://www.mendeley.com/documents/?uuid=e43bd770-e756-3e5b-a38e-d59dadb7af96"]},{"id":"ITEM-2","itemData":{"DOI":"10.1186/S40468-020-00101-6/TABLES/1","ISSN":"22290443","abstract":"Recently, we have witnessed a growing interest in developing teachers’ language assessment literacy. The ever increasing demand for and use of assessment products and data by a more varied group of stakeholders than ever before, such as newcomers with limited assessment knowledge in the field, and the knowledge assessors need to possess (Stiggins, Phi Delta Kappa 72:534-539, 1991) directs an ongoing discussion on assessment literacy. The 1990 Standards for Teacher Competence in Educational Assessment of Students (AFT, NCME, &amp; NEA, Educational Measurement: Issues and Practice 9:30-32, 1990) made a considerable contribution to this field of study. Following these Standards, a substantial number of for and against studies have been published on the knowledge base and skills for assessment literacy, assessment goals, the stakeholders, formative assessment and accountability contexts, and measures examining teacher assessment literacy levels. This paper elaborates on the nature of the language assessment literacy, its conceptual framework, the related studies on assessment literacy, and various components of teacher assessment literacy and their interrelationships. The discussions, which focus on what language teachers and testers need to learn, unlearn, and relearn, should develop a deep understanding of the work of teachers, teacher trainers, professional developers, stakeholders, teacher educators, and educational policymakers. Further, the outcome of the present paper can provide more venues for further research.","author":[{"dropping-particle":"","family":"Coombe","given":"Christine","non-dropping-particle":"","parse-names":false,"suffix":""},{"dropping-particle":"","family":"Vafadar","given":"Hossein","non-dropping-particle":"","parse-names":false,"suffix":""},{"dropping-particle":"","family":"Mohebbi","given":"Hassan","non-dropping-particle":"","parse-names":false,"suffix":""}],"container-title":"Language Testing in Asia","id":"ITEM-2","issue":"1","issued":{"date-parts":[["2020","12","1"]]},"page":"1-16","publisher":"Springer","title":"Language Assessment Literacy: What Do We Need to Learn, Unlearn, and Relearn?","type":"article-journal","volume":"10"},"uris":["http://www.mendeley.com/documents/?uuid=d4b7a7b2-182f-3f5d-9acf-c3b572279b47"]}],"mendeley":{"formattedCitation":"[28], [29]","plainTextFormattedCitation":"[28], [29]","previouslyFormattedCitation":"[28], [29]"},"properties":{"noteIndex":0},"schema":"https://github.com/citation-style-language/schema/raw/master/csl-citation.json"}</w:instrText>
      </w:r>
      <w:r w:rsidRPr="00EC6C07">
        <w:rPr>
          <w:lang w:val="id-ID"/>
        </w:rPr>
        <w:fldChar w:fldCharType="separate"/>
      </w:r>
      <w:r w:rsidRPr="00EC6C07">
        <w:rPr>
          <w:lang w:val="id-ID"/>
        </w:rPr>
        <w:t>[28], [29]</w:t>
      </w:r>
      <w:r w:rsidRPr="00EC6C07">
        <w:fldChar w:fldCharType="end"/>
      </w:r>
      <w:r w:rsidRPr="00EC6C07">
        <w:rPr>
          <w:lang w:val="id-ID"/>
        </w:rPr>
        <w:t>. Regarding the development of students' scientific literacy, the development of scientific literacy assessment tools is very important to familiarize students with issues in the field of scientific literacy</w:t>
      </w:r>
      <w:r w:rsidRPr="00EC6C07">
        <w:rPr>
          <w:lang w:val="en-US"/>
        </w:rPr>
        <w:t xml:space="preserve"> </w:t>
      </w:r>
      <w:r w:rsidRPr="00EC6C07">
        <w:rPr>
          <w:lang w:val="id-ID"/>
        </w:rPr>
        <w:fldChar w:fldCharType="begin" w:fldLock="1"/>
      </w:r>
      <w:r w:rsidRPr="00EC6C07">
        <w:rPr>
          <w:lang w:val="id-ID"/>
        </w:rPr>
        <w:instrText>ADDIN CSL_CITATION {"citationItems":[{"id":"ITEM-1","itemData":{"DOI":"10.33369/PENDIPA.6.2.474-483","ISSN":"2622-9307","abstract":"Dalam rangka pengembangan literasi sains peserta didik, pengembangan Instrumen Asesmen Literasi Sains sangat penting untuk melatih siswa lebih literat.Tujuan penelitian ini adalah mengembangkan instrumen asesmen literasi sains yang valid dan andal untuk mengukur kemampuan literasi sains siswa kelas VI sekolah dasar. Metode penelitian yang digunakan dalam penelitian ini adalah metode penelitian dan pengembangan atau sering disebut juga dengan 4D ( Define, Design, Development, Desimination) dengan dilakukan penyederhanaan tahapan pengembangan menjadi 3D ( Define, Design, Development). Produk akhir dalam penelitian pengembangan ini adalah Instrumen Asesmen Literasi Sains untuk mengukur kemampuan literasi sains yang dinyatakan valid dan layak oleh pakar berupa 20 butir soal.Tahapan pengembangan Instrumen diawali dengan melakukan analisis kebutuhan, Hasil validitas instrumen tes oleh ahli aspek mendapat rerata persentase sebesar 93%, aspek literasi sains mendapat rerata persentase sebesar 93%, aspek konstruksi mendapat rerata persentase sebesar 99%, dan aspek tata bahasa mendapat rerata persentase sebesar 95%. Hasil siswa terkait kepraktisan instrument sebesar 93%. Hasil uji empiris, bisa didapatkan data 18 soal dinyatakan valid dan 2 soal kategori drop. Hasil koefisian reliabilitas sebesar 0, 499. Keefektifan instrumen tes berada pada kategori dan sangat sesuai dengan demikian dapat mengungkap atau menjenjangkan kemampuan literasi sains siswa dalam 3 kriteria, yaitu tinggi, sedang, dan rendah.Instrumen tes yang dikembangkan dapat digunakan untuk mengukur kemampuan literasi sains kelas VI jenjang sekolah dasar.","author":[{"dropping-particle":"","family":"Chasanah","given":"Nur","non-dropping-particle":"","parse-names":false,"suffix":""},{"dropping-particle":"","family":"Widodo","given":"Wahono","non-dropping-particle":"","parse-names":false,"suffix":""},{"dropping-particle":"","family":"Suprapto","given":"Nadi","non-dropping-particle":"","parse-names":false,"suffix":""}],"container-title":"PENDIPA Journal of Science Education","id":"ITEM-1","issue":"2","issued":{"date-parts":[["2022","5","30"]]},"page":"474-483","publisher":"UNIB Press","title":"Pengembangan Instrumen Asesmen Literasi Sains Untuk Mendeskripsikan Profil Peserta Didik","type":"article-journal","volume":"6"},"uris":["http://www.mendeley.com/documents/?uuid=98c25681-607b-36b4-b2b5-97ee7d2a0630"]},{"id":"ITEM-2","itemData":{"DOI":"10.1088/1742-6596/983/1/012046","ISSN":"1742-6596","abstract":"The research were aimed to develop and find out of validity, reliability, characteristic of scientific literacy assessment, and find out of the profile of students' scientific literacy skills in Energy themed. The research is conducted in 7th grade of Secondary School at Demak, Central of Java Indonesia. The research design used R&amp;D (Research and Development). The results of the research showed that the scientific literacy assessment was valid and reliable with 0.68 value in the first try out and 0.73 value in the last try out. The characteristics of the scientific literacy assessment are the difficulty index and the discrimination power. The difficulty index and distinguishing are 56.25% easy, 31.25% medium, and 12.5% very difficult with good discrimination power. The proportion of category of scientific literacy as the body of knowledge, the science as a way of investigating, science as a way of thinking, and the interaction among science, environment, technology, and society was 37.5%:25%:18.75%:18.75%. The highest to the lowest profile of students' scientific literacy skills at Secondary School Demak was 72% in the category of science as a way of thinking and the lowest was 59% in the category of science as the body of knowledge.","author":[{"dropping-particle":"","family":"Rusilowati","given":"A.","non-dropping-particle":"","parse-names":false,"suffix":""},{"dropping-particle":"","family":"Nugroho","given":"S. E.","non-dropping-particle":"","parse-names":false,"suffix":""},{"dropping-particle":"","family":"Susilowati","given":"E. S.M.","non-dropping-particle":"","parse-names":false,"suffix":""},{"dropping-particle":"","family":"Mustika","given":"T.","non-dropping-particle":"","parse-names":false,"suffix":""},{"dropping-particle":"","family":"Harfiyani","given":"N.","non-dropping-particle":"","parse-names":false,"suffix":""},{"dropping-particle":"","family":"Prabowo","given":"H. T.","non-dropping-particle":"","parse-names":false,"suffix":""}],"container-title":"Journal of Physics: Conference Series","id":"ITEM-2","issue":"1","issued":{"date-parts":[["2018","3","1"]]},"page":"012046","publisher":"IOP Publishing","title":"The Development of Scientific Literacy Assessment to Measure Student’s Scientific Literacy Skills in Energy Theme","type":"article-journal","volume":"983"},"uris":["http://www.mendeley.com/documents/?uuid=a94ef4d7-8202-3b6e-8b56-0227e1122958"]},{"id":"ITEM-3","itemData":{"DOI":"10.15294/JERE.V11I1.55421","ISSN":"2503-1732","abstract":"The preparation of test instruments based on scientific literacy was one of the efforts to measure students' literacy skills, especially in the field of science or science. The aim of this study was to produce a scientific literacy assessment instrument containing socio-sciences in primary school science learning with the theme of heat and its displacement. The research method used in this study was the research and development method or often referred to as 4D (Define, Design, Development, Dissemination) by simplifying the stages of development into 3D (Define, Design, Development). The results showed that the average value of the instrument content validity was 85.03% which was declared very valid and the empirical validity value was 80.00%. The results of the practicality test of the scientific literacy assessment instrument containing socio-sciences by the teacher obtained a score of 89.52% and by students 88.43%. The reliability of the scientific literacy assessment instrument containing socio-sciences shows a high category with a reliability value of 0.83, there are 80% of questions with moderate difficulty criteria, and 66% of questions with good discriminating power. Based on the results of the research, it can be concluded that the scientific literacy assessment instrument containing socio-sciences of heat material and its transfer can be declared valid, practical, and reliable.","author":[{"dropping-particle":"","family":"Muniroh","given":"Natiqotul","non-dropping-particle":"","parse-names":false,"suffix":""},{"dropping-particle":"","family":"Rusilowati","given":"Ani","non-dropping-particle":"","parse-names":false,"suffix":""},{"dropping-particle":"","family":"Isnaeni","given":"Wiwi","non-dropping-particle":"","parse-names":false,"suffix":""}],"container-title":"Journal of Research and Educational Research Evaluation","id":"ITEM-3","issue":"1","issued":{"date-parts":[["2022","3","30"]]},"page":"15-22","publisher":"Universitas Negeri Semarang","title":"Instrument Development of Science Literacy Assessment with Socio-Sciences Contains in Natural Science Learning for Elementary School","type":"article-journal","volume":"11"},"uris":["http://www.mendeley.com/documents/?uuid=218aeaa7-cffa-3017-9eea-a13fec88237f"]}],"mendeley":{"formattedCitation":"[30]–[32]","plainTextFormattedCitation":"[30]–[32]","previouslyFormattedCitation":"[30]–[32]"},"properties":{"noteIndex":0},"schema":"https://github.com/citation-style-language/schema/raw/master/csl-citation.json"}</w:instrText>
      </w:r>
      <w:r w:rsidRPr="00EC6C07">
        <w:rPr>
          <w:lang w:val="id-ID"/>
        </w:rPr>
        <w:fldChar w:fldCharType="separate"/>
      </w:r>
      <w:r w:rsidRPr="00EC6C07">
        <w:rPr>
          <w:lang w:val="id-ID"/>
        </w:rPr>
        <w:t>[30]–[32]</w:t>
      </w:r>
      <w:r w:rsidRPr="00EC6C07">
        <w:fldChar w:fldCharType="end"/>
      </w:r>
      <w:r w:rsidRPr="00EC6C07">
        <w:rPr>
          <w:lang w:val="id-ID"/>
        </w:rPr>
        <w:t xml:space="preserve">. Assessment activities carried out by teachers are generally designed to measure cognitive aspects only. Cognitive assessments carried out in routine assessment activities often only measure low cognitive levels. As a result, students have little opportunity to think analytically and optimally. Teacher assessment provides a great opportunity to encourage chemical literacy skills in students </w:t>
      </w:r>
      <w:r w:rsidRPr="00EC6C07">
        <w:rPr>
          <w:lang w:val="id-ID"/>
        </w:rPr>
        <w:fldChar w:fldCharType="begin" w:fldLock="1"/>
      </w:r>
      <w:r w:rsidRPr="00EC6C07">
        <w:rPr>
          <w:lang w:val="id-ID"/>
        </w:rPr>
        <w:instrText>ADDIN CSL_CITATION {"citationItems":[{"id":"ITEM-1","itemData":{"DOI":"10.1088/1742-6596/1097/1/012061","ISSN":"1742-6596","abstract":"The objective in this study was to determine the analytical thinking and chemical literacy skill of senior high school students. This study was quantitative descriptive method describing the integrated skill of analytical thinking and student's chemisty literacy. There were 185 students of 12th grade science in Kulon Progo in academic year 2017/2018 used as a sample. In this study, the data were obtained from interviewing, delivering questionnaire, and delivering test of integrated multiple choice with the number of 30 question about hydrolysis concept. The reliability of test was found to be 0.94. The integrated instrument aspects consisting of 4 indicators: explaining the phenomena by distinguishing chemistry concept, organizing chemistry problems by using chemistry understanding, analyzing the strategies and the benefits of chemistry applications, and explaining the relationship among phenomena by using chemistry concept. The result showed that the integrated ability between analytical thinking and chemical literacy ability of the hydrolysis concept of the students is 56.76%. Thus, it can be concluded that the integrated ability between analytical thinking ability and chemical literacy of the students is fair.","author":[{"dropping-particle":"","family":"Prastiwi","given":"M. N.B.","non-dropping-particle":"","parse-names":false,"suffix":""},{"dropping-particle":"","family":"Laksono","given":"E. W.","non-dropping-particle":"","parse-names":false,"suffix":""}],"container-title":"Journal of Physics: Conference Series","id":"ITEM-1","issue":"1","issued":{"date-parts":[["2018","9","1"]]},"page":"012061","publisher":"IOP Publishing","title":"The Ability of Analytical Thinking and Chemistry Literacy in High School Students Learning","type":"article-journal","volume":"1097"},"uris":["http://www.mendeley.com/documents/?uuid=e0dcae0a-9598-3968-8701-56bcc127a21e"]}],"mendeley":{"formattedCitation":"[33]","plainTextFormattedCitation":"[33]","previouslyFormattedCitation":"[33]"},"properties":{"noteIndex":0},"schema":"https://github.com/citation-style-language/schema/raw/master/csl-citation.json"}</w:instrText>
      </w:r>
      <w:r w:rsidRPr="00EC6C07">
        <w:rPr>
          <w:lang w:val="id-ID"/>
        </w:rPr>
        <w:fldChar w:fldCharType="separate"/>
      </w:r>
      <w:r w:rsidRPr="00EC6C07">
        <w:rPr>
          <w:lang w:val="id-ID"/>
        </w:rPr>
        <w:t>[33]</w:t>
      </w:r>
      <w:r w:rsidRPr="00EC6C07">
        <w:fldChar w:fldCharType="end"/>
      </w:r>
      <w:r w:rsidRPr="00EC6C07">
        <w:rPr>
          <w:lang w:val="id-ID"/>
        </w:rPr>
        <w:t>. The instrument used is still in the form of routine questions so it does not yet support the development of student literacy. Implications are needed in the form of appropriate assessment questions to measure chemical literacy</w:t>
      </w:r>
      <w:r w:rsidRPr="00EC6C07">
        <w:rPr>
          <w:lang w:val="en-US"/>
        </w:rPr>
        <w:t xml:space="preserve"> </w:t>
      </w:r>
      <w:r w:rsidRPr="00EC6C07">
        <w:rPr>
          <w:lang w:val="id-ID"/>
        </w:rPr>
        <w:fldChar w:fldCharType="begin" w:fldLock="1"/>
      </w:r>
      <w:r w:rsidRPr="00EC6C07">
        <w:rPr>
          <w:lang w:val="id-ID"/>
        </w:rPr>
        <w:instrText>ADDIN CSL_CITATION {"citationItems":[{"id":"ITEM-1","itemData":{"author":[{"dropping-particle":"","family":"Muntholib","given":"Muntholib","non-dropping-particle":"","parse-names":false,"suffix":""},{"dropping-particle":"","family":"Ibnu","given":"Suhadi","non-dropping-particle":"","parse-names":false,"suffix":""},{"dropping-particle":"","family":"Rahayu","given":"Sri","non-dropping-particle":"","parse-names":false,"suffix":""},{"dropping-particle":"","family":"Fajaroh","given":"Fauziatul","non-dropping-particle":"","parse-names":false,"suffix":""},{"dropping-particle":"","family":"Kusairi","given":"Sentot","non-dropping-particle":"","parse-names":false,"suffix":""},{"dropping-particle":"","family":"Kuswandi","given":"Bambang","non-dropping-particle":"","parse-names":false,"suffix":""}],"container-title":"Indonesian journal of chemistry","id":"ITEM-1","issue":"2","issued":{"date-parts":[["2020"]]},"page":"468-482","title":"Chemical literacy: Performance of first year chemistry students on chemical kinetics","type":"article-journal","volume":"20"},"uris":["http://www.mendeley.com/documents/?uuid=61c1bddc-5318-4cac-b51c-6c48d93f47bd","http://www.mendeley.com/documents/?uuid=a06537ca-5bf0-417e-abc5-3f7d8ff2a4e5","http://www.mendeley.com/documents/?uuid=415ae6c3-4a53-4ff8-866f-9ab84408ca95"]}],"mendeley":{"formattedCitation":"[34]","plainTextFormattedCitation":"[34]","previouslyFormattedCitation":"[34]"},"properties":{"noteIndex":0},"schema":"https://github.com/citation-style-language/schema/raw/master/csl-citation.json"}</w:instrText>
      </w:r>
      <w:r w:rsidRPr="00EC6C07">
        <w:rPr>
          <w:lang w:val="id-ID"/>
        </w:rPr>
        <w:fldChar w:fldCharType="separate"/>
      </w:r>
      <w:r w:rsidRPr="00EC6C07">
        <w:rPr>
          <w:lang w:val="id-ID"/>
        </w:rPr>
        <w:t>[34]</w:t>
      </w:r>
      <w:r w:rsidRPr="00EC6C07">
        <w:fldChar w:fldCharType="end"/>
      </w:r>
      <w:r w:rsidRPr="00EC6C07">
        <w:rPr>
          <w:lang w:val="en-US"/>
        </w:rPr>
        <w:t>.</w:t>
      </w:r>
    </w:p>
    <w:p w14:paraId="6F9B0C91" w14:textId="352B6FE9" w:rsidR="00E33890" w:rsidRDefault="006E2E18" w:rsidP="007C3F2E">
      <w:pPr>
        <w:pBdr>
          <w:top w:val="nil"/>
          <w:left w:val="nil"/>
          <w:bottom w:val="nil"/>
          <w:right w:val="nil"/>
          <w:between w:val="nil"/>
        </w:pBdr>
        <w:spacing w:before="240" w:after="180"/>
        <w:ind w:left="0" w:hanging="2"/>
        <w:rPr>
          <w:b/>
          <w:smallCaps/>
          <w:sz w:val="23"/>
          <w:szCs w:val="23"/>
        </w:rPr>
      </w:pPr>
      <w:r>
        <w:rPr>
          <w:b/>
          <w:smallCaps/>
          <w:sz w:val="23"/>
          <w:szCs w:val="23"/>
        </w:rPr>
        <w:t xml:space="preserve">2. </w:t>
      </w:r>
      <w:r w:rsidR="00E017B8">
        <w:rPr>
          <w:b/>
          <w:smallCaps/>
          <w:sz w:val="23"/>
          <w:szCs w:val="23"/>
        </w:rPr>
        <w:t>METHOD</w:t>
      </w:r>
    </w:p>
    <w:p w14:paraId="6F9B0C94" w14:textId="624B20F3" w:rsidR="00E33890" w:rsidRDefault="00395896" w:rsidP="007C3F2E">
      <w:pPr>
        <w:pBdr>
          <w:top w:val="nil"/>
          <w:left w:val="nil"/>
          <w:bottom w:val="nil"/>
          <w:right w:val="nil"/>
          <w:between w:val="nil"/>
        </w:pBdr>
        <w:spacing w:after="120"/>
        <w:ind w:left="0" w:hanging="2"/>
      </w:pPr>
      <w:r w:rsidRPr="00395896">
        <w:rPr>
          <w:lang w:val="id-ID"/>
        </w:rPr>
        <w:t>Development of chemical literacy instruments using the Research and Development (R&amp;D) model. The development of this product adapts the steps for developing an instrument [35] which includes 5 stages, namely 1) planning for making an assessment instrument, 2) testing the instrument, 3) determining validity, 4) determining reliability, and 5) interpreting scores. The chemical literacy research instruments that have been compiled and used are validated using content validation based on the review of five expert judgments. The validity index used to prove content validity uses Aiken's index</w:t>
      </w:r>
      <w:r w:rsidRPr="00395896">
        <w:rPr>
          <w:lang w:val="en-US"/>
        </w:rPr>
        <w:t xml:space="preserve"> </w:t>
      </w:r>
      <w:r w:rsidRPr="00395896">
        <w:rPr>
          <w:lang w:val="id-ID"/>
        </w:rPr>
        <w:fldChar w:fldCharType="begin" w:fldLock="1"/>
      </w:r>
      <w:r w:rsidRPr="00395896">
        <w:rPr>
          <w:lang w:val="id-ID"/>
        </w:rPr>
        <w:instrText>ADDIN CSL_CITATION {"citationItems":[{"id":"ITEM-1","itemData":{"DOI":"10.1177/0013164485451012","ISSN":"15523888","abstract":"Three numerical coefficients (V, R, and H) for analyzing the validity and reliability of ratings are described. Each coefficient, which ranges in value from 0 to 1, is computed as the ratio of an obtained to a maximum sum of differences in ratings, or as 1 minus that ratio. Computer programs for calculating the coefficients, their associated individual and cumulative right-tail probabilities, and the population mean and standard deviation of each coefficient are available. Tables of the individual and right-tail probabilities for selected values of the three coefficients are included for 2 to 7 rating categories and 2 to 25 items or raters. More complete probability tables can be generated for any value of c, m, or n with one of the computer programs provided. When the number of items or raters is large (&gt;25), the right-tail probability associated with any value of a coefficient may be estimated by a z-score procedure. The three coefficients are applicable not only to validity and reliability (test-retest and internal consistency) determinations but also to the item analysis, agreement analysis, and cluster or factor analysis of rating-scale data. © 1985, Sage Publications. All rights reserved.","author":[{"dropping-particle":"","family":"Aiken","given":"Lewis R.","non-dropping-particle":"","parse-names":false,"suffix":""}],"container-title":"Educational and Psychological Measurement","id":"ITEM-1","issue":"1","issued":{"date-parts":[["1985"]]},"page":"131-142","title":"Three Coefficients for Analyzing: the Reliability and Validity of Ratings","type":"article-journal","volume":"45"},"uris":["http://www.mendeley.com/documents/?uuid=31720d5c-9510-3482-8d02-7ac4e0d3f079"]}],"mendeley":{"formattedCitation":"[36]","plainTextFormattedCitation":"[36]","previouslyFormattedCitation":"[36]"},"properties":{"noteIndex":0},"schema":"https://github.com/citation-style-language/schema/raw/master/csl-citation.json"}</w:instrText>
      </w:r>
      <w:r w:rsidRPr="00395896">
        <w:rPr>
          <w:lang w:val="id-ID"/>
        </w:rPr>
        <w:fldChar w:fldCharType="separate"/>
      </w:r>
      <w:r w:rsidRPr="00395896">
        <w:rPr>
          <w:lang w:val="id-ID"/>
        </w:rPr>
        <w:t>[36]</w:t>
      </w:r>
      <w:r w:rsidRPr="00395896">
        <w:fldChar w:fldCharType="end"/>
      </w:r>
      <w:r w:rsidRPr="00395896">
        <w:rPr>
          <w:lang w:val="id-ID"/>
        </w:rPr>
        <w:t>. After content validation, empirical validity was carried out to analyze the quality of the CLAC instrument. Analysis of the empirical validity scores obtained from trials using the Rasch model analysis with the help of the Ministep program.</w:t>
      </w:r>
    </w:p>
    <w:p w14:paraId="6F9B0C95" w14:textId="7DFB1DC2" w:rsidR="00E33890" w:rsidRDefault="006E2E18" w:rsidP="007C3F2E">
      <w:pPr>
        <w:pBdr>
          <w:top w:val="nil"/>
          <w:left w:val="nil"/>
          <w:bottom w:val="nil"/>
          <w:right w:val="nil"/>
          <w:between w:val="nil"/>
        </w:pBdr>
        <w:spacing w:before="240" w:after="180"/>
        <w:ind w:left="0" w:hanging="2"/>
        <w:rPr>
          <w:b/>
          <w:smallCaps/>
          <w:sz w:val="23"/>
          <w:szCs w:val="23"/>
        </w:rPr>
      </w:pPr>
      <w:r>
        <w:rPr>
          <w:b/>
          <w:smallCaps/>
          <w:sz w:val="23"/>
          <w:szCs w:val="23"/>
        </w:rPr>
        <w:t>3</w:t>
      </w:r>
      <w:r>
        <w:rPr>
          <w:b/>
          <w:smallCaps/>
          <w:sz w:val="23"/>
          <w:szCs w:val="23"/>
        </w:rPr>
        <w:t xml:space="preserve">. </w:t>
      </w:r>
      <w:r w:rsidR="00395896">
        <w:rPr>
          <w:b/>
          <w:smallCaps/>
          <w:sz w:val="23"/>
          <w:szCs w:val="23"/>
        </w:rPr>
        <w:t>RESULT AND DISCUSSION</w:t>
      </w:r>
    </w:p>
    <w:p w14:paraId="4FCDC130" w14:textId="27064EC5" w:rsidR="00B03437" w:rsidRPr="00B03437" w:rsidRDefault="006C254A" w:rsidP="007C3F2E">
      <w:pPr>
        <w:pBdr>
          <w:top w:val="nil"/>
          <w:left w:val="nil"/>
          <w:bottom w:val="nil"/>
          <w:right w:val="nil"/>
          <w:between w:val="nil"/>
        </w:pBdr>
        <w:spacing w:before="240" w:after="180"/>
        <w:ind w:left="0" w:hanging="2"/>
        <w:rPr>
          <w:b/>
          <w:i/>
          <w:sz w:val="23"/>
          <w:szCs w:val="23"/>
        </w:rPr>
      </w:pPr>
      <w:r>
        <w:rPr>
          <w:b/>
          <w:i/>
          <w:sz w:val="23"/>
          <w:szCs w:val="23"/>
        </w:rPr>
        <w:t>3</w:t>
      </w:r>
      <w:r w:rsidR="00B03437" w:rsidRPr="00B03437">
        <w:rPr>
          <w:b/>
          <w:i/>
          <w:sz w:val="23"/>
          <w:szCs w:val="23"/>
        </w:rPr>
        <w:t xml:space="preserve">.1. </w:t>
      </w:r>
      <w:r w:rsidR="00C11E0A">
        <w:rPr>
          <w:b/>
          <w:bCs/>
          <w:i/>
          <w:iCs/>
          <w:sz w:val="23"/>
          <w:szCs w:val="23"/>
        </w:rPr>
        <w:t>Development of the CLAC Instrument</w:t>
      </w:r>
    </w:p>
    <w:p w14:paraId="3D101650" w14:textId="0DEBC11B" w:rsidR="006C254A" w:rsidRDefault="006C254A" w:rsidP="007C3F2E">
      <w:pPr>
        <w:pBdr>
          <w:top w:val="nil"/>
          <w:left w:val="nil"/>
          <w:bottom w:val="nil"/>
          <w:right w:val="nil"/>
          <w:between w:val="nil"/>
        </w:pBdr>
        <w:spacing w:after="120"/>
        <w:ind w:left="0" w:hanging="2"/>
      </w:pPr>
      <w:r w:rsidRPr="006C254A">
        <w:rPr>
          <w:lang w:val="id-ID"/>
        </w:rPr>
        <w:t>Development of the CLAC instrument which is used to measure students' chemical literacy skills in colloidal material, includes five stages, namely 1) planning for making an assessment instrument, 2) testing the instrument, 3) determining validity, 4) determining reliability, and 5) interpreting scores. The planning stage for making the assessment instrument consists of determining the objective/preliminary study as a guide in making the instrument grid, determining the form of the items, writing the items along with writing the answer key with scoring guidelines, then validating and improving the product. The planning stage conducts a literature study and analyzes aspects of chemical literacy according to the OECD and Shwartz, which refers to 3 aspects of content, procedural knowledge, and epistemic knowledge</w:t>
      </w:r>
      <w:r w:rsidRPr="006C254A">
        <w:rPr>
          <w:lang w:val="en-US"/>
        </w:rPr>
        <w:t xml:space="preserve">  </w:t>
      </w:r>
      <w:r w:rsidRPr="006C254A">
        <w:rPr>
          <w:lang w:val="en-US"/>
        </w:rPr>
        <w:fldChar w:fldCharType="begin" w:fldLock="1"/>
      </w:r>
      <w:r w:rsidRPr="006C254A">
        <w:rPr>
          <w:lang w:val="en-US"/>
        </w:rPr>
        <w:instrText>ADDIN CSL_CITATION {"citationItems":[{"id":"ITEM-1","itemData":{"DOI":"10.1039/B6RP90011A","ISSN":"1756-1108","abstract":"This study investigated the attainment of chemical literacy among 10th-12th grade chemistry students in Israel. Based on existing theoretical frameworks, assessment tools were developed, which measured students’ ability to: a) recognize chemical concepts as such (nominal literacy); b) define some key-concepts (functional literacy); c) use their understanding of chemical concepts to explain phenomena (conceptual literacy); and d) use their knowledge in chemistry to read a short article, or analyze information provided in commercial ads or internet resources (multi-dimensional literacy). It was found that students improve their nominal and functional literacy; however, higher levels of chemical literacy, as defined within these frameworks, are only partly met. The findings can be helpful in the process of designing new curricula, and emphasizing certain instructional strategies in order to foster chemical literacy. [Chem. Educ. Res. Pract., 2006, 7 (4), 203-225]","author":[{"dropping-particle":"","family":"Shwartz","given":"Yael","non-dropping-particle":"","parse-names":false,"suffix":""},{"dropping-particle":"","family":"Ben-Zvi","given":"Ruth","non-dropping-particle":"","parse-names":false,"suffix":""},{"dropping-particle":"","family":"Hofstein","given":"Avi","non-dropping-particle":"","parse-names":false,"suffix":""}],"container-title":"Chemistry Education Research and Practice","id":"ITEM-1","issue":"4","issued":{"date-parts":[["2006","10","1"]]},"page":"203-225","publisher":"The Royal Society of Chemistry","title":"The Use of Scientific Literacy Taxonomy for Assessing the Development of Chemical Literacy Among High-School Students","type":"article-journal","volume":"7"},"uris":["http://www.mendeley.com/documents/?uuid=2f569750-4900-37e2-b2b8-26b5a3375078"]}],"mendeley":{"formattedCitation":"[37]","plainTextFormattedCitation":"[37]","previouslyFormattedCitation":"[37]"},"properties":{"noteIndex":0},"schema":"https://github.com/citation-style-language/schema/raw/master/csl-citation.json"}</w:instrText>
      </w:r>
      <w:r w:rsidRPr="006C254A">
        <w:rPr>
          <w:lang w:val="en-US"/>
        </w:rPr>
        <w:fldChar w:fldCharType="separate"/>
      </w:r>
      <w:r w:rsidRPr="006C254A">
        <w:rPr>
          <w:lang w:val="en-US"/>
        </w:rPr>
        <w:t>[37]</w:t>
      </w:r>
      <w:r w:rsidRPr="006C254A">
        <w:fldChar w:fldCharType="end"/>
      </w:r>
      <w:r w:rsidRPr="006C254A">
        <w:rPr>
          <w:lang w:val="id-ID"/>
        </w:rPr>
        <w:t>.</w:t>
      </w:r>
      <w:r w:rsidRPr="006C254A">
        <w:rPr>
          <w:lang w:val="en-US"/>
        </w:rPr>
        <w:t xml:space="preserve"> </w:t>
      </w:r>
      <w:r w:rsidRPr="006C254A">
        <w:rPr>
          <w:lang w:val="id-ID"/>
        </w:rPr>
        <w:t xml:space="preserve">The quality and validity of the instruments developed can be assessed by analyzing the test results. Testing activities are carried out using validated research tools. The empirical test of the instrument involved 75 students with details of 40 Lhokseumawe MAN students and 35 East Aceh Insan Cendikia MAN students. The trial was conducted to empirically test the items to obtain evidence of the quality and characteristics of the items on the chemical literacy assessment instrument on colloidal system material. The chemical literacy assessment instrument product consists of 25-item descriptions and multiple choices. Students who have finished studying colloidal system chemistry are tested for their chemical literacy skills by working on </w:t>
      </w:r>
      <w:r w:rsidRPr="006C254A">
        <w:rPr>
          <w:lang w:val="id-ID"/>
        </w:rPr>
        <w:lastRenderedPageBreak/>
        <w:t>chemical literacy assessment instruments on colloidal system material. Time to work on the questions required 90 minutes</w:t>
      </w:r>
      <w:r w:rsidRPr="006C254A">
        <w:rPr>
          <w:lang w:val="en-US"/>
        </w:rPr>
        <w:t>.</w:t>
      </w:r>
    </w:p>
    <w:p w14:paraId="6F9B0C9A" w14:textId="1E54128B" w:rsidR="00E33890" w:rsidRDefault="006C254A" w:rsidP="007C3F2E">
      <w:pPr>
        <w:pBdr>
          <w:top w:val="nil"/>
          <w:left w:val="nil"/>
          <w:bottom w:val="nil"/>
          <w:right w:val="nil"/>
          <w:between w:val="nil"/>
        </w:pBdr>
        <w:spacing w:after="120"/>
        <w:ind w:left="0" w:hanging="2"/>
        <w:rPr>
          <w:b/>
          <w:bCs/>
          <w:i/>
          <w:iCs/>
          <w:sz w:val="23"/>
          <w:szCs w:val="23"/>
          <w:lang w:val="id-ID"/>
        </w:rPr>
      </w:pPr>
      <w:r>
        <w:rPr>
          <w:b/>
          <w:i/>
          <w:sz w:val="23"/>
          <w:szCs w:val="23"/>
        </w:rPr>
        <w:t>3</w:t>
      </w:r>
      <w:r w:rsidRPr="00B03437">
        <w:rPr>
          <w:b/>
          <w:i/>
          <w:sz w:val="23"/>
          <w:szCs w:val="23"/>
        </w:rPr>
        <w:t>.</w:t>
      </w:r>
      <w:r w:rsidR="00B75FCE">
        <w:rPr>
          <w:b/>
          <w:i/>
          <w:sz w:val="23"/>
          <w:szCs w:val="23"/>
        </w:rPr>
        <w:t>2</w:t>
      </w:r>
      <w:r w:rsidRPr="00B03437">
        <w:rPr>
          <w:b/>
          <w:i/>
          <w:sz w:val="23"/>
          <w:szCs w:val="23"/>
        </w:rPr>
        <w:t xml:space="preserve">. </w:t>
      </w:r>
      <w:r w:rsidR="00195810" w:rsidRPr="00195810">
        <w:rPr>
          <w:b/>
          <w:bCs/>
          <w:i/>
          <w:iCs/>
          <w:sz w:val="23"/>
          <w:szCs w:val="23"/>
          <w:lang w:val="id-ID"/>
        </w:rPr>
        <w:t>Determination of Validity, Reliability, and Quality Analysis of CLACInstruments</w:t>
      </w:r>
    </w:p>
    <w:p w14:paraId="435F64F8" w14:textId="6503990F" w:rsidR="00B75FCE" w:rsidRDefault="00B75FCE" w:rsidP="007C3F2E">
      <w:pPr>
        <w:pBdr>
          <w:top w:val="nil"/>
          <w:left w:val="nil"/>
          <w:bottom w:val="nil"/>
          <w:right w:val="nil"/>
          <w:between w:val="nil"/>
        </w:pBdr>
        <w:spacing w:after="120"/>
        <w:ind w:left="0" w:hanging="2"/>
        <w:rPr>
          <w:lang w:val="id-ID"/>
        </w:rPr>
      </w:pPr>
      <w:r>
        <w:rPr>
          <w:i/>
        </w:rPr>
        <w:t>3</w:t>
      </w:r>
      <w:r w:rsidRPr="00B75FCE">
        <w:rPr>
          <w:i/>
        </w:rPr>
        <w:t>.</w:t>
      </w:r>
      <w:r>
        <w:rPr>
          <w:i/>
        </w:rPr>
        <w:t>2</w:t>
      </w:r>
      <w:r w:rsidRPr="00B75FCE">
        <w:rPr>
          <w:i/>
        </w:rPr>
        <w:t xml:space="preserve">.1. </w:t>
      </w:r>
      <w:r w:rsidR="00894D2F" w:rsidRPr="00894D2F">
        <w:rPr>
          <w:i/>
          <w:iCs/>
          <w:lang w:val="id-ID"/>
        </w:rPr>
        <w:t>Content Validity</w:t>
      </w:r>
      <w:r w:rsidR="00894D2F" w:rsidRPr="00894D2F">
        <w:rPr>
          <w:i/>
        </w:rPr>
        <w:t xml:space="preserve"> </w:t>
      </w:r>
    </w:p>
    <w:p w14:paraId="76046CA3" w14:textId="22C89437" w:rsidR="005861CF" w:rsidRDefault="005861CF" w:rsidP="007C3F2E">
      <w:pPr>
        <w:pBdr>
          <w:top w:val="nil"/>
          <w:left w:val="nil"/>
          <w:bottom w:val="nil"/>
          <w:right w:val="nil"/>
          <w:between w:val="nil"/>
        </w:pBdr>
        <w:spacing w:after="120"/>
        <w:ind w:left="0" w:hanging="2"/>
        <w:rPr>
          <w:lang w:val="id-ID"/>
        </w:rPr>
      </w:pPr>
      <w:r w:rsidRPr="005861CF">
        <w:rPr>
          <w:lang w:val="id-ID"/>
        </w:rPr>
        <w:t xml:space="preserve">The development of the CLAC instrument was carried out using content and empirical validation. Content validity was carried out to obtain an assessment from the expert, while empirical validity was carried out to obtain an assessment regarding the quality, characteristics of the items, and conclusions regarding the feasibility of the developed assessment instrument. The final product obtained is used to measure students' chemical literacy skills on colloidal system material which consists of 25 questions from 10 texts. Analysis of content validity scores uses the Aiken formula adjusted to the Aiken index. Based on the analysis using the Aiken index, the items are valid and appropriate to use if the value of V = 0.80 for five raters </w:t>
      </w:r>
      <w:r w:rsidRPr="005861CF">
        <w:rPr>
          <w:lang w:val="id-ID"/>
        </w:rPr>
        <w:fldChar w:fldCharType="begin" w:fldLock="1"/>
      </w:r>
      <w:r w:rsidRPr="005861CF">
        <w:rPr>
          <w:lang w:val="id-ID"/>
        </w:rPr>
        <w:instrText>ADDIN CSL_CITATION {"citationItems":[{"id":"ITEM-1","itemData":{"DOI":"10.1177/0013164485451012","ISSN":"15523888","abstract":"Three numerical coefficients (V, R, and H) for analyzing the validity and reliability of ratings are described. Each coefficient, which ranges in value from 0 to 1, is computed as the ratio of an obtained to a maximum sum of differences in ratings, or as 1 minus that ratio. Computer programs for calculating the coefficients, their associated individual and cumulative right-tail probabilities, and the population mean and standard deviation of each coefficient are available. Tables of the individual and right-tail probabilities for selected values of the three coefficients are included for 2 to 7 rating categories and 2 to 25 items or raters. More complete probability tables can be generated for any value of c, m, or n with one of the computer programs provided. When the number of items or raters is large (&gt;25), the right-tail probability associated with any value of a coefficient may be estimated by a z-score procedure. The three coefficients are applicable not only to validity and reliability (test-retest and internal consistency) determinations but also to the item analysis, agreement analysis, and cluster or factor analysis of rating-scale data. © 1985, Sage Publications. All rights reserved.","author":[{"dropping-particle":"","family":"Aiken","given":"Lewis R.","non-dropping-particle":"","parse-names":false,"suffix":""}],"container-title":"Educational and Psychological Measurement","id":"ITEM-1","issue":"1","issued":{"date-parts":[["1985"]]},"page":"131-142","title":"Three Coefficients for Analyzing: the Reliability and Validity of Ratings","type":"article-journal","volume":"45"},"uris":["http://www.mendeley.com/documents/?uuid=31720d5c-9510-3482-8d02-7ac4e0d3f079"]}],"mendeley":{"formattedCitation":"[36]","plainTextFormattedCitation":"[36]","previouslyFormattedCitation":"[36]"},"properties":{"noteIndex":0},"schema":"https://github.com/citation-style-language/schema/raw/master/csl-citation.json"}</w:instrText>
      </w:r>
      <w:r w:rsidRPr="005861CF">
        <w:rPr>
          <w:lang w:val="id-ID"/>
        </w:rPr>
        <w:fldChar w:fldCharType="separate"/>
      </w:r>
      <w:r w:rsidRPr="005861CF">
        <w:rPr>
          <w:lang w:val="id-ID"/>
        </w:rPr>
        <w:t>[36]</w:t>
      </w:r>
      <w:r w:rsidRPr="005861CF">
        <w:rPr>
          <w:lang w:val="id-ID"/>
        </w:rPr>
        <w:fldChar w:fldCharType="end"/>
      </w:r>
      <w:r w:rsidRPr="005861CF">
        <w:rPr>
          <w:lang w:val="id-ID"/>
        </w:rPr>
        <w:t>. The results of the validation score analysis with the Aiken formula for the chemical literacy assessment instrument on colloidal system material can be seen in Figure 1.</w:t>
      </w:r>
    </w:p>
    <w:p w14:paraId="3420449B" w14:textId="54F4AF32" w:rsidR="00C25F8D" w:rsidRDefault="00C25F8D" w:rsidP="007C3F2E">
      <w:pPr>
        <w:pBdr>
          <w:top w:val="nil"/>
          <w:left w:val="nil"/>
          <w:bottom w:val="nil"/>
          <w:right w:val="nil"/>
          <w:between w:val="nil"/>
        </w:pBdr>
        <w:spacing w:after="120"/>
        <w:ind w:left="0" w:hanging="2"/>
        <w:jc w:val="center"/>
        <w:rPr>
          <w:lang w:val="id-ID"/>
        </w:rPr>
      </w:pPr>
      <w:r w:rsidRPr="00361E55">
        <w:rPr>
          <w:noProof/>
        </w:rPr>
        <w:drawing>
          <wp:inline distT="0" distB="0" distL="0" distR="0" wp14:anchorId="49F1F68B" wp14:editId="65C1218F">
            <wp:extent cx="4707172" cy="2743200"/>
            <wp:effectExtent l="0" t="0" r="1778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52712F" w14:textId="1011EE32" w:rsidR="00C25F8D" w:rsidRDefault="00C25F8D" w:rsidP="007C3F2E">
      <w:pPr>
        <w:pBdr>
          <w:top w:val="nil"/>
          <w:left w:val="nil"/>
          <w:bottom w:val="nil"/>
          <w:right w:val="nil"/>
          <w:between w:val="nil"/>
        </w:pBdr>
        <w:spacing w:after="120"/>
        <w:ind w:left="0" w:hanging="2"/>
        <w:rPr>
          <w:lang w:val="id-ID"/>
        </w:rPr>
      </w:pPr>
      <w:r>
        <w:rPr>
          <w:b/>
        </w:rPr>
        <w:t>Figure 1</w:t>
      </w:r>
      <w:r>
        <w:t xml:space="preserve"> </w:t>
      </w:r>
      <w:r w:rsidR="00965254" w:rsidRPr="00965254">
        <w:rPr>
          <w:lang w:val="id-ID"/>
        </w:rPr>
        <w:t>Diagram of Analysis Results Score</w:t>
      </w:r>
      <w:r w:rsidR="00965254" w:rsidRPr="00965254">
        <w:rPr>
          <w:lang w:val="en-US"/>
        </w:rPr>
        <w:t xml:space="preserve"> Content Validity of</w:t>
      </w:r>
      <w:r w:rsidR="00965254" w:rsidRPr="00965254">
        <w:rPr>
          <w:lang w:val="id-ID"/>
        </w:rPr>
        <w:t xml:space="preserve"> Instrument</w:t>
      </w:r>
    </w:p>
    <w:p w14:paraId="7B95B465" w14:textId="218203E6" w:rsidR="005E6769" w:rsidRDefault="00577913" w:rsidP="007C3F2E">
      <w:pPr>
        <w:pBdr>
          <w:top w:val="nil"/>
          <w:left w:val="nil"/>
          <w:bottom w:val="nil"/>
          <w:right w:val="nil"/>
          <w:between w:val="nil"/>
        </w:pBdr>
        <w:spacing w:after="120"/>
        <w:ind w:left="0" w:hanging="2"/>
        <w:rPr>
          <w:lang w:val="id-ID"/>
        </w:rPr>
      </w:pPr>
      <w:r>
        <w:rPr>
          <w:noProof/>
        </w:rPr>
        <mc:AlternateContent>
          <mc:Choice Requires="wps">
            <w:drawing>
              <wp:anchor distT="45720" distB="45720" distL="114300" distR="114300" simplePos="0" relativeHeight="251659264" behindDoc="0" locked="0" layoutInCell="1" hidden="0" allowOverlap="1" wp14:anchorId="6F9B0CBD" wp14:editId="52A198A3">
                <wp:simplePos x="0" y="0"/>
                <wp:positionH relativeFrom="margin">
                  <wp:align>left</wp:align>
                </wp:positionH>
                <wp:positionV relativeFrom="paragraph">
                  <wp:posOffset>459906</wp:posOffset>
                </wp:positionV>
                <wp:extent cx="5657850" cy="1208405"/>
                <wp:effectExtent l="0" t="0" r="0" b="0"/>
                <wp:wrapSquare wrapText="bothSides" distT="45720" distB="45720" distL="114300" distR="114300"/>
                <wp:docPr id="15371" name="Rectangle 15371"/>
                <wp:cNvGraphicFramePr/>
                <a:graphic xmlns:a="http://schemas.openxmlformats.org/drawingml/2006/main">
                  <a:graphicData uri="http://schemas.microsoft.com/office/word/2010/wordprocessingShape">
                    <wps:wsp>
                      <wps:cNvSpPr/>
                      <wps:spPr>
                        <a:xfrm>
                          <a:off x="0" y="0"/>
                          <a:ext cx="5657850" cy="1208598"/>
                        </a:xfrm>
                        <a:prstGeom prst="rect">
                          <a:avLst/>
                        </a:prstGeom>
                        <a:solidFill>
                          <a:srgbClr val="FFFFFF"/>
                        </a:solidFill>
                        <a:ln w="9525" cap="flat" cmpd="sng">
                          <a:noFill/>
                          <a:prstDash val="solid"/>
                          <a:miter lim="800000"/>
                          <a:headEnd type="none" w="sm" len="sm"/>
                          <a:tailEnd type="none" w="sm" len="sm"/>
                        </a:ln>
                      </wps:spPr>
                      <wps:txbx>
                        <w:txbxContent>
                          <w:p w14:paraId="6F9B0CD2" w14:textId="313126E0" w:rsidR="00E33890" w:rsidRDefault="006E2E18">
                            <w:pPr>
                              <w:spacing w:after="120" w:line="258" w:lineRule="auto"/>
                              <w:ind w:left="0" w:hanging="2"/>
                              <w:textDirection w:val="btLr"/>
                            </w:pPr>
                            <w:r>
                              <w:rPr>
                                <w:b/>
                              </w:rPr>
                              <w:t>Table 1.</w:t>
                            </w:r>
                            <w:r>
                              <w:t xml:space="preserve"> </w:t>
                            </w:r>
                            <w:r w:rsidR="008A018A" w:rsidRPr="008A018A">
                              <w:rPr>
                                <w:lang w:val="id-ID"/>
                              </w:rPr>
                              <w:t xml:space="preserve">Category Item Number </w:t>
                            </w:r>
                            <w:r w:rsidR="008A018A" w:rsidRPr="008A018A">
                              <w:rPr>
                                <w:lang w:val="en-US"/>
                              </w:rPr>
                              <w:t>Content Validity of</w:t>
                            </w:r>
                            <w:r w:rsidR="008A018A" w:rsidRPr="008A018A">
                              <w:rPr>
                                <w:lang w:val="id-ID"/>
                              </w:rPr>
                              <w:t xml:space="preserve"> Instrument</w:t>
                            </w:r>
                          </w:p>
                          <w:tbl>
                            <w:tblPr>
                              <w:tblW w:w="0" w:type="auto"/>
                              <w:jc w:val="center"/>
                              <w:tblBorders>
                                <w:top w:val="single" w:sz="4" w:space="0" w:color="auto"/>
                                <w:bottom w:val="single" w:sz="4" w:space="0" w:color="auto"/>
                              </w:tblBorders>
                              <w:tblLook w:val="04A0" w:firstRow="1" w:lastRow="0" w:firstColumn="1" w:lastColumn="0" w:noHBand="0" w:noVBand="1"/>
                            </w:tblPr>
                            <w:tblGrid>
                              <w:gridCol w:w="2552"/>
                              <w:gridCol w:w="2322"/>
                              <w:gridCol w:w="1789"/>
                            </w:tblGrid>
                            <w:tr w:rsidR="00614E35" w:rsidRPr="00066FBE" w14:paraId="59829D09" w14:textId="77777777" w:rsidTr="0079549B">
                              <w:trPr>
                                <w:jc w:val="center"/>
                              </w:trPr>
                              <w:tc>
                                <w:tcPr>
                                  <w:tcW w:w="2552" w:type="dxa"/>
                                  <w:tcBorders>
                                    <w:top w:val="single" w:sz="4" w:space="0" w:color="auto"/>
                                    <w:bottom w:val="single" w:sz="4" w:space="0" w:color="auto"/>
                                  </w:tcBorders>
                                  <w:vAlign w:val="center"/>
                                </w:tcPr>
                                <w:p w14:paraId="51D27EBF" w14:textId="77777777" w:rsidR="00614E35" w:rsidRPr="00744117" w:rsidRDefault="00614E35" w:rsidP="00614E35">
                                  <w:pPr>
                                    <w:pStyle w:val="Default"/>
                                    <w:ind w:hanging="2"/>
                                    <w:rPr>
                                      <w:rFonts w:eastAsia="Times New Roman"/>
                                      <w:sz w:val="20"/>
                                      <w:szCs w:val="20"/>
                                      <w:lang w:val="en-ID" w:eastAsia="id-ID"/>
                                    </w:rPr>
                                  </w:pPr>
                                  <w:r w:rsidRPr="00744117">
                                    <w:rPr>
                                      <w:sz w:val="20"/>
                                      <w:szCs w:val="20"/>
                                    </w:rPr>
                                    <w:t xml:space="preserve">Can </w:t>
                                  </w:r>
                                  <w:r>
                                    <w:rPr>
                                      <w:sz w:val="20"/>
                                      <w:szCs w:val="20"/>
                                    </w:rPr>
                                    <w:t>b</w:t>
                                  </w:r>
                                  <w:r w:rsidRPr="00744117">
                                    <w:rPr>
                                      <w:sz w:val="20"/>
                                      <w:szCs w:val="20"/>
                                    </w:rPr>
                                    <w:t xml:space="preserve">e </w:t>
                                  </w:r>
                                  <w:r>
                                    <w:rPr>
                                      <w:sz w:val="20"/>
                                      <w:szCs w:val="20"/>
                                    </w:rPr>
                                    <w:t>u</w:t>
                                  </w:r>
                                  <w:r w:rsidRPr="00744117">
                                    <w:rPr>
                                      <w:sz w:val="20"/>
                                      <w:szCs w:val="20"/>
                                    </w:rPr>
                                    <w:t>sed</w:t>
                                  </w:r>
                                  <w:r>
                                    <w:rPr>
                                      <w:sz w:val="20"/>
                                      <w:szCs w:val="20"/>
                                    </w:rPr>
                                    <w:t xml:space="preserve"> </w:t>
                                  </w:r>
                                  <w:proofErr w:type="gramStart"/>
                                  <w:r w:rsidRPr="00744117">
                                    <w:rPr>
                                      <w:sz w:val="20"/>
                                      <w:szCs w:val="20"/>
                                    </w:rPr>
                                    <w:t>without  Revision</w:t>
                                  </w:r>
                                  <w:proofErr w:type="gramEnd"/>
                                </w:p>
                              </w:tc>
                              <w:tc>
                                <w:tcPr>
                                  <w:tcW w:w="2322" w:type="dxa"/>
                                  <w:tcBorders>
                                    <w:top w:val="single" w:sz="4" w:space="0" w:color="auto"/>
                                    <w:bottom w:val="single" w:sz="4" w:space="0" w:color="auto"/>
                                  </w:tcBorders>
                                  <w:vAlign w:val="center"/>
                                </w:tcPr>
                                <w:p w14:paraId="135538A3" w14:textId="77777777" w:rsidR="00614E35" w:rsidRPr="00744117" w:rsidRDefault="00614E35" w:rsidP="00614E35">
                                  <w:pPr>
                                    <w:pStyle w:val="Default"/>
                                    <w:ind w:hanging="2"/>
                                    <w:rPr>
                                      <w:rFonts w:eastAsia="Times New Roman"/>
                                      <w:sz w:val="20"/>
                                      <w:szCs w:val="20"/>
                                      <w:lang w:val="en-ID" w:eastAsia="id-ID"/>
                                    </w:rPr>
                                  </w:pPr>
                                  <w:r w:rsidRPr="00744117">
                                    <w:rPr>
                                      <w:sz w:val="20"/>
                                      <w:szCs w:val="20"/>
                                    </w:rPr>
                                    <w:t xml:space="preserve">Usable with </w:t>
                                  </w:r>
                                  <w:r>
                                    <w:rPr>
                                      <w:sz w:val="20"/>
                                      <w:szCs w:val="20"/>
                                    </w:rPr>
                                    <w:t>r</w:t>
                                  </w:r>
                                  <w:r w:rsidRPr="00744117">
                                    <w:rPr>
                                      <w:sz w:val="20"/>
                                      <w:szCs w:val="20"/>
                                    </w:rPr>
                                    <w:t>evision</w:t>
                                  </w:r>
                                </w:p>
                              </w:tc>
                              <w:tc>
                                <w:tcPr>
                                  <w:tcW w:w="1789" w:type="dxa"/>
                                  <w:tcBorders>
                                    <w:top w:val="single" w:sz="4" w:space="0" w:color="auto"/>
                                    <w:bottom w:val="single" w:sz="4" w:space="0" w:color="auto"/>
                                  </w:tcBorders>
                                  <w:vAlign w:val="center"/>
                                </w:tcPr>
                                <w:p w14:paraId="476A711F" w14:textId="77777777" w:rsidR="00614E35" w:rsidRPr="00744117" w:rsidRDefault="00614E35" w:rsidP="00614E35">
                                  <w:pPr>
                                    <w:pStyle w:val="Default"/>
                                    <w:ind w:hanging="2"/>
                                    <w:rPr>
                                      <w:rFonts w:eastAsia="Times New Roman"/>
                                      <w:sz w:val="20"/>
                                      <w:szCs w:val="20"/>
                                      <w:lang w:val="en-ID" w:eastAsia="id-ID"/>
                                    </w:rPr>
                                  </w:pPr>
                                  <w:r w:rsidRPr="00744117">
                                    <w:rPr>
                                      <w:sz w:val="20"/>
                                      <w:szCs w:val="20"/>
                                    </w:rPr>
                                    <w:t>Cannot</w:t>
                                  </w:r>
                                  <w:r>
                                    <w:rPr>
                                      <w:sz w:val="20"/>
                                      <w:szCs w:val="20"/>
                                    </w:rPr>
                                    <w:t xml:space="preserve"> be u</w:t>
                                  </w:r>
                                  <w:r w:rsidRPr="00744117">
                                    <w:rPr>
                                      <w:sz w:val="20"/>
                                      <w:szCs w:val="20"/>
                                    </w:rPr>
                                    <w:t>sed</w:t>
                                  </w:r>
                                </w:p>
                              </w:tc>
                            </w:tr>
                            <w:tr w:rsidR="00614E35" w:rsidRPr="00066FBE" w14:paraId="14855E53" w14:textId="77777777" w:rsidTr="0079549B">
                              <w:trPr>
                                <w:trHeight w:val="389"/>
                                <w:jc w:val="center"/>
                              </w:trPr>
                              <w:tc>
                                <w:tcPr>
                                  <w:tcW w:w="2552" w:type="dxa"/>
                                  <w:tcBorders>
                                    <w:top w:val="single" w:sz="4" w:space="0" w:color="auto"/>
                                  </w:tcBorders>
                                </w:tcPr>
                                <w:p w14:paraId="02CF35E5" w14:textId="77777777" w:rsidR="00614E35" w:rsidRPr="00744117" w:rsidRDefault="00614E35" w:rsidP="00614E35">
                                  <w:pPr>
                                    <w:ind w:left="34"/>
                                  </w:pPr>
                                  <w:r w:rsidRPr="00744117">
                                    <w:t xml:space="preserve">1, 2, 4, 5, 7, 8, 10, 11, 13, 14, 15, 16, 17, 19, 22, 23, 25, </w:t>
                                  </w:r>
                                </w:p>
                              </w:tc>
                              <w:tc>
                                <w:tcPr>
                                  <w:tcW w:w="2322" w:type="dxa"/>
                                  <w:tcBorders>
                                    <w:top w:val="single" w:sz="4" w:space="0" w:color="auto"/>
                                  </w:tcBorders>
                                </w:tcPr>
                                <w:p w14:paraId="62533A93" w14:textId="77777777" w:rsidR="00614E35" w:rsidRPr="00744117" w:rsidRDefault="00614E35" w:rsidP="00614E35">
                                  <w:r w:rsidRPr="00744117">
                                    <w:t>3, 6, 9, 12, 18, 20, 21, 24</w:t>
                                  </w:r>
                                </w:p>
                              </w:tc>
                              <w:tc>
                                <w:tcPr>
                                  <w:tcW w:w="1789" w:type="dxa"/>
                                  <w:tcBorders>
                                    <w:top w:val="single" w:sz="4" w:space="0" w:color="auto"/>
                                  </w:tcBorders>
                                  <w:vAlign w:val="center"/>
                                </w:tcPr>
                                <w:p w14:paraId="2DFB15F0" w14:textId="77777777" w:rsidR="00614E35" w:rsidRPr="00744117" w:rsidRDefault="00614E35" w:rsidP="00614E35">
                                  <w:r w:rsidRPr="00744117">
                                    <w:t>-</w:t>
                                  </w:r>
                                </w:p>
                              </w:tc>
                            </w:tr>
                            <w:tr w:rsidR="00614E35" w:rsidRPr="00066FBE" w14:paraId="2F49F55E" w14:textId="77777777" w:rsidTr="0079549B">
                              <w:trPr>
                                <w:jc w:val="center"/>
                              </w:trPr>
                              <w:tc>
                                <w:tcPr>
                                  <w:tcW w:w="2552" w:type="dxa"/>
                                </w:tcPr>
                                <w:p w14:paraId="5B804A3A" w14:textId="77777777" w:rsidR="00614E35" w:rsidRPr="00744117" w:rsidRDefault="00614E35" w:rsidP="00614E35">
                                  <w:pPr>
                                    <w:rPr>
                                      <w:lang w:val="en-US"/>
                                    </w:rPr>
                                  </w:pPr>
                                  <w:r w:rsidRPr="00744117">
                                    <w:t xml:space="preserve">17 </w:t>
                                  </w:r>
                                  <w:r w:rsidRPr="00744117">
                                    <w:rPr>
                                      <w:lang w:val="en-US"/>
                                    </w:rPr>
                                    <w:t>items</w:t>
                                  </w:r>
                                </w:p>
                              </w:tc>
                              <w:tc>
                                <w:tcPr>
                                  <w:tcW w:w="2322" w:type="dxa"/>
                                </w:tcPr>
                                <w:p w14:paraId="63AC7620" w14:textId="77777777" w:rsidR="00614E35" w:rsidRPr="00744117" w:rsidRDefault="00614E35" w:rsidP="00614E35">
                                  <w:pPr>
                                    <w:rPr>
                                      <w:lang w:val="en-US"/>
                                    </w:rPr>
                                  </w:pPr>
                                  <w:r w:rsidRPr="00744117">
                                    <w:t xml:space="preserve">8 </w:t>
                                  </w:r>
                                  <w:r w:rsidRPr="00744117">
                                    <w:rPr>
                                      <w:lang w:val="en-US"/>
                                    </w:rPr>
                                    <w:t>items</w:t>
                                  </w:r>
                                </w:p>
                              </w:tc>
                              <w:tc>
                                <w:tcPr>
                                  <w:tcW w:w="1789" w:type="dxa"/>
                                  <w:vAlign w:val="center"/>
                                </w:tcPr>
                                <w:p w14:paraId="6A3C8868" w14:textId="77777777" w:rsidR="00614E35" w:rsidRPr="00744117" w:rsidRDefault="00614E35" w:rsidP="00614E35">
                                  <w:r w:rsidRPr="00744117">
                                    <w:t>-</w:t>
                                  </w:r>
                                </w:p>
                              </w:tc>
                            </w:tr>
                          </w:tbl>
                          <w:p w14:paraId="6F9B0CD3" w14:textId="77777777" w:rsidR="00E33890" w:rsidRDefault="00E33890">
                            <w:pPr>
                              <w:spacing w:line="258" w:lineRule="auto"/>
                              <w:ind w:left="0" w:hanging="2"/>
                              <w:textDirection w:val="btLr"/>
                            </w:pPr>
                          </w:p>
                          <w:p w14:paraId="6F9B0CD4" w14:textId="77777777" w:rsidR="00E33890" w:rsidRDefault="00E33890">
                            <w:pPr>
                              <w:spacing w:line="258" w:lineRule="auto"/>
                              <w:ind w:left="0" w:hanging="2"/>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9B0CBD" id="Rectangle 15371" o:spid="_x0000_s1037" style="position:absolute;left:0;text-align:left;margin-left:0;margin-top:36.2pt;width:445.5pt;height:95.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" stroked="f">
                <v:stroke startarrowwidth="narrow" startarrowlength="short" endarrowwidth="narrow" endarrowlength="short"/>
                <v:textbox inset="2.53958mm,1.2694mm,2.53958mm,1.2694mm">
                  <w:txbxContent>
                    <w:p w14:paraId="6F9B0CD2" w14:textId="313126E0" w:rsidR="00E33890" w:rsidRDefault="006E2E18">
                      <w:pPr>
                        <w:spacing w:after="120" w:line="258" w:lineRule="auto"/>
                        <w:ind w:left="0" w:hanging="2"/>
                        <w:textDirection w:val="btLr"/>
                      </w:pPr>
                      <w:r>
                        <w:rPr>
                          <w:b/>
                        </w:rPr>
                        <w:t>Table 1.</w:t>
                      </w:r>
                      <w:r>
                        <w:t xml:space="preserve"> </w:t>
                      </w:r>
                      <w:r w:rsidR="008A018A" w:rsidRPr="008A018A">
                        <w:rPr>
                          <w:lang w:val="id-ID"/>
                        </w:rPr>
                        <w:t xml:space="preserve">Category Item Number </w:t>
                      </w:r>
                      <w:r w:rsidR="008A018A" w:rsidRPr="008A018A">
                        <w:rPr>
                          <w:lang w:val="en-US"/>
                        </w:rPr>
                        <w:t>Content Validity of</w:t>
                      </w:r>
                      <w:r w:rsidR="008A018A" w:rsidRPr="008A018A">
                        <w:rPr>
                          <w:lang w:val="id-ID"/>
                        </w:rPr>
                        <w:t xml:space="preserve"> Instrument</w:t>
                      </w:r>
                    </w:p>
                    <w:tbl>
                      <w:tblPr>
                        <w:tblW w:w="0" w:type="auto"/>
                        <w:jc w:val="center"/>
                        <w:tblBorders>
                          <w:top w:val="single" w:sz="4" w:space="0" w:color="auto"/>
                          <w:bottom w:val="single" w:sz="4" w:space="0" w:color="auto"/>
                        </w:tblBorders>
                        <w:tblLook w:val="04A0" w:firstRow="1" w:lastRow="0" w:firstColumn="1" w:lastColumn="0" w:noHBand="0" w:noVBand="1"/>
                      </w:tblPr>
                      <w:tblGrid>
                        <w:gridCol w:w="2552"/>
                        <w:gridCol w:w="2322"/>
                        <w:gridCol w:w="1789"/>
                      </w:tblGrid>
                      <w:tr w:rsidR="00614E35" w:rsidRPr="00066FBE" w14:paraId="59829D09" w14:textId="77777777" w:rsidTr="0079549B">
                        <w:trPr>
                          <w:jc w:val="center"/>
                        </w:trPr>
                        <w:tc>
                          <w:tcPr>
                            <w:tcW w:w="2552" w:type="dxa"/>
                            <w:tcBorders>
                              <w:top w:val="single" w:sz="4" w:space="0" w:color="auto"/>
                              <w:bottom w:val="single" w:sz="4" w:space="0" w:color="auto"/>
                            </w:tcBorders>
                            <w:vAlign w:val="center"/>
                          </w:tcPr>
                          <w:p w14:paraId="51D27EBF" w14:textId="77777777" w:rsidR="00614E35" w:rsidRPr="00744117" w:rsidRDefault="00614E35" w:rsidP="00614E35">
                            <w:pPr>
                              <w:pStyle w:val="Default"/>
                              <w:ind w:hanging="2"/>
                              <w:rPr>
                                <w:rFonts w:eastAsia="Times New Roman"/>
                                <w:sz w:val="20"/>
                                <w:szCs w:val="20"/>
                                <w:lang w:val="en-ID" w:eastAsia="id-ID"/>
                              </w:rPr>
                            </w:pPr>
                            <w:r w:rsidRPr="00744117">
                              <w:rPr>
                                <w:sz w:val="20"/>
                                <w:szCs w:val="20"/>
                              </w:rPr>
                              <w:t xml:space="preserve">Can </w:t>
                            </w:r>
                            <w:r>
                              <w:rPr>
                                <w:sz w:val="20"/>
                                <w:szCs w:val="20"/>
                              </w:rPr>
                              <w:t>b</w:t>
                            </w:r>
                            <w:r w:rsidRPr="00744117">
                              <w:rPr>
                                <w:sz w:val="20"/>
                                <w:szCs w:val="20"/>
                              </w:rPr>
                              <w:t xml:space="preserve">e </w:t>
                            </w:r>
                            <w:r>
                              <w:rPr>
                                <w:sz w:val="20"/>
                                <w:szCs w:val="20"/>
                              </w:rPr>
                              <w:t>u</w:t>
                            </w:r>
                            <w:r w:rsidRPr="00744117">
                              <w:rPr>
                                <w:sz w:val="20"/>
                                <w:szCs w:val="20"/>
                              </w:rPr>
                              <w:t>sed</w:t>
                            </w:r>
                            <w:r>
                              <w:rPr>
                                <w:sz w:val="20"/>
                                <w:szCs w:val="20"/>
                              </w:rPr>
                              <w:t xml:space="preserve"> </w:t>
                            </w:r>
                            <w:proofErr w:type="gramStart"/>
                            <w:r w:rsidRPr="00744117">
                              <w:rPr>
                                <w:sz w:val="20"/>
                                <w:szCs w:val="20"/>
                              </w:rPr>
                              <w:t>without  Revision</w:t>
                            </w:r>
                            <w:proofErr w:type="gramEnd"/>
                          </w:p>
                        </w:tc>
                        <w:tc>
                          <w:tcPr>
                            <w:tcW w:w="2322" w:type="dxa"/>
                            <w:tcBorders>
                              <w:top w:val="single" w:sz="4" w:space="0" w:color="auto"/>
                              <w:bottom w:val="single" w:sz="4" w:space="0" w:color="auto"/>
                            </w:tcBorders>
                            <w:vAlign w:val="center"/>
                          </w:tcPr>
                          <w:p w14:paraId="135538A3" w14:textId="77777777" w:rsidR="00614E35" w:rsidRPr="00744117" w:rsidRDefault="00614E35" w:rsidP="00614E35">
                            <w:pPr>
                              <w:pStyle w:val="Default"/>
                              <w:ind w:hanging="2"/>
                              <w:rPr>
                                <w:rFonts w:eastAsia="Times New Roman"/>
                                <w:sz w:val="20"/>
                                <w:szCs w:val="20"/>
                                <w:lang w:val="en-ID" w:eastAsia="id-ID"/>
                              </w:rPr>
                            </w:pPr>
                            <w:r w:rsidRPr="00744117">
                              <w:rPr>
                                <w:sz w:val="20"/>
                                <w:szCs w:val="20"/>
                              </w:rPr>
                              <w:t xml:space="preserve">Usable with </w:t>
                            </w:r>
                            <w:r>
                              <w:rPr>
                                <w:sz w:val="20"/>
                                <w:szCs w:val="20"/>
                              </w:rPr>
                              <w:t>r</w:t>
                            </w:r>
                            <w:r w:rsidRPr="00744117">
                              <w:rPr>
                                <w:sz w:val="20"/>
                                <w:szCs w:val="20"/>
                              </w:rPr>
                              <w:t>evision</w:t>
                            </w:r>
                          </w:p>
                        </w:tc>
                        <w:tc>
                          <w:tcPr>
                            <w:tcW w:w="1789" w:type="dxa"/>
                            <w:tcBorders>
                              <w:top w:val="single" w:sz="4" w:space="0" w:color="auto"/>
                              <w:bottom w:val="single" w:sz="4" w:space="0" w:color="auto"/>
                            </w:tcBorders>
                            <w:vAlign w:val="center"/>
                          </w:tcPr>
                          <w:p w14:paraId="476A711F" w14:textId="77777777" w:rsidR="00614E35" w:rsidRPr="00744117" w:rsidRDefault="00614E35" w:rsidP="00614E35">
                            <w:pPr>
                              <w:pStyle w:val="Default"/>
                              <w:ind w:hanging="2"/>
                              <w:rPr>
                                <w:rFonts w:eastAsia="Times New Roman"/>
                                <w:sz w:val="20"/>
                                <w:szCs w:val="20"/>
                                <w:lang w:val="en-ID" w:eastAsia="id-ID"/>
                              </w:rPr>
                            </w:pPr>
                            <w:r w:rsidRPr="00744117">
                              <w:rPr>
                                <w:sz w:val="20"/>
                                <w:szCs w:val="20"/>
                              </w:rPr>
                              <w:t>Cannot</w:t>
                            </w:r>
                            <w:r>
                              <w:rPr>
                                <w:sz w:val="20"/>
                                <w:szCs w:val="20"/>
                              </w:rPr>
                              <w:t xml:space="preserve"> be u</w:t>
                            </w:r>
                            <w:r w:rsidRPr="00744117">
                              <w:rPr>
                                <w:sz w:val="20"/>
                                <w:szCs w:val="20"/>
                              </w:rPr>
                              <w:t>sed</w:t>
                            </w:r>
                          </w:p>
                        </w:tc>
                      </w:tr>
                      <w:tr w:rsidR="00614E35" w:rsidRPr="00066FBE" w14:paraId="14855E53" w14:textId="77777777" w:rsidTr="0079549B">
                        <w:trPr>
                          <w:trHeight w:val="389"/>
                          <w:jc w:val="center"/>
                        </w:trPr>
                        <w:tc>
                          <w:tcPr>
                            <w:tcW w:w="2552" w:type="dxa"/>
                            <w:tcBorders>
                              <w:top w:val="single" w:sz="4" w:space="0" w:color="auto"/>
                            </w:tcBorders>
                          </w:tcPr>
                          <w:p w14:paraId="02CF35E5" w14:textId="77777777" w:rsidR="00614E35" w:rsidRPr="00744117" w:rsidRDefault="00614E35" w:rsidP="00614E35">
                            <w:pPr>
                              <w:ind w:left="34"/>
                            </w:pPr>
                            <w:r w:rsidRPr="00744117">
                              <w:t xml:space="preserve">1, 2, 4, 5, 7, 8, 10, 11, 13, 14, 15, 16, 17, 19, 22, 23, 25, </w:t>
                            </w:r>
                          </w:p>
                        </w:tc>
                        <w:tc>
                          <w:tcPr>
                            <w:tcW w:w="2322" w:type="dxa"/>
                            <w:tcBorders>
                              <w:top w:val="single" w:sz="4" w:space="0" w:color="auto"/>
                            </w:tcBorders>
                          </w:tcPr>
                          <w:p w14:paraId="62533A93" w14:textId="77777777" w:rsidR="00614E35" w:rsidRPr="00744117" w:rsidRDefault="00614E35" w:rsidP="00614E35">
                            <w:r w:rsidRPr="00744117">
                              <w:t>3, 6, 9, 12, 18, 20, 21, 24</w:t>
                            </w:r>
                          </w:p>
                        </w:tc>
                        <w:tc>
                          <w:tcPr>
                            <w:tcW w:w="1789" w:type="dxa"/>
                            <w:tcBorders>
                              <w:top w:val="single" w:sz="4" w:space="0" w:color="auto"/>
                            </w:tcBorders>
                            <w:vAlign w:val="center"/>
                          </w:tcPr>
                          <w:p w14:paraId="2DFB15F0" w14:textId="77777777" w:rsidR="00614E35" w:rsidRPr="00744117" w:rsidRDefault="00614E35" w:rsidP="00614E35">
                            <w:r w:rsidRPr="00744117">
                              <w:t>-</w:t>
                            </w:r>
                          </w:p>
                        </w:tc>
                      </w:tr>
                      <w:tr w:rsidR="00614E35" w:rsidRPr="00066FBE" w14:paraId="2F49F55E" w14:textId="77777777" w:rsidTr="0079549B">
                        <w:trPr>
                          <w:jc w:val="center"/>
                        </w:trPr>
                        <w:tc>
                          <w:tcPr>
                            <w:tcW w:w="2552" w:type="dxa"/>
                          </w:tcPr>
                          <w:p w14:paraId="5B804A3A" w14:textId="77777777" w:rsidR="00614E35" w:rsidRPr="00744117" w:rsidRDefault="00614E35" w:rsidP="00614E35">
                            <w:pPr>
                              <w:rPr>
                                <w:lang w:val="en-US"/>
                              </w:rPr>
                            </w:pPr>
                            <w:r w:rsidRPr="00744117">
                              <w:t xml:space="preserve">17 </w:t>
                            </w:r>
                            <w:r w:rsidRPr="00744117">
                              <w:rPr>
                                <w:lang w:val="en-US"/>
                              </w:rPr>
                              <w:t>items</w:t>
                            </w:r>
                          </w:p>
                        </w:tc>
                        <w:tc>
                          <w:tcPr>
                            <w:tcW w:w="2322" w:type="dxa"/>
                          </w:tcPr>
                          <w:p w14:paraId="63AC7620" w14:textId="77777777" w:rsidR="00614E35" w:rsidRPr="00744117" w:rsidRDefault="00614E35" w:rsidP="00614E35">
                            <w:pPr>
                              <w:rPr>
                                <w:lang w:val="en-US"/>
                              </w:rPr>
                            </w:pPr>
                            <w:r w:rsidRPr="00744117">
                              <w:t xml:space="preserve">8 </w:t>
                            </w:r>
                            <w:r w:rsidRPr="00744117">
                              <w:rPr>
                                <w:lang w:val="en-US"/>
                              </w:rPr>
                              <w:t>items</w:t>
                            </w:r>
                          </w:p>
                        </w:tc>
                        <w:tc>
                          <w:tcPr>
                            <w:tcW w:w="1789" w:type="dxa"/>
                            <w:vAlign w:val="center"/>
                          </w:tcPr>
                          <w:p w14:paraId="6A3C8868" w14:textId="77777777" w:rsidR="00614E35" w:rsidRPr="00744117" w:rsidRDefault="00614E35" w:rsidP="00614E35">
                            <w:r w:rsidRPr="00744117">
                              <w:t>-</w:t>
                            </w:r>
                          </w:p>
                        </w:tc>
                      </w:tr>
                    </w:tbl>
                    <w:p w14:paraId="6F9B0CD3" w14:textId="77777777" w:rsidR="00E33890" w:rsidRDefault="00E33890">
                      <w:pPr>
                        <w:spacing w:line="258" w:lineRule="auto"/>
                        <w:ind w:left="0" w:hanging="2"/>
                        <w:textDirection w:val="btLr"/>
                      </w:pPr>
                    </w:p>
                    <w:p w14:paraId="6F9B0CD4" w14:textId="77777777" w:rsidR="00E33890" w:rsidRDefault="00E33890">
                      <w:pPr>
                        <w:spacing w:line="258" w:lineRule="auto"/>
                        <w:ind w:left="0" w:hanging="2"/>
                        <w:textDirection w:val="btLr"/>
                      </w:pPr>
                    </w:p>
                  </w:txbxContent>
                </v:textbox>
                <w10:wrap type="square" anchorx="margin"/>
              </v:rect>
            </w:pict>
          </mc:Fallback>
        </mc:AlternateContent>
      </w:r>
      <w:r w:rsidR="005E6769" w:rsidRPr="005E6769">
        <w:rPr>
          <w:lang w:val="id-ID"/>
        </w:rPr>
        <w:t xml:space="preserve">Items validation results are divided into three types or categories, namely without revision, revision, and cannot be used. In detail, the categories for all item items are presented in </w:t>
      </w:r>
      <w:r w:rsidR="005E6769" w:rsidRPr="005E6769">
        <w:rPr>
          <w:lang w:val="en-US"/>
        </w:rPr>
        <w:t>T</w:t>
      </w:r>
      <w:r w:rsidR="005E6769" w:rsidRPr="005E6769">
        <w:rPr>
          <w:lang w:val="id-ID"/>
        </w:rPr>
        <w:t>able</w:t>
      </w:r>
      <w:r w:rsidR="005E6769" w:rsidRPr="005E6769">
        <w:rPr>
          <w:lang w:val="en-US"/>
        </w:rPr>
        <w:t xml:space="preserve"> 1.</w:t>
      </w:r>
    </w:p>
    <w:p w14:paraId="6F9B0CA0" w14:textId="62D50732" w:rsidR="00E33890" w:rsidRDefault="008D6BF1" w:rsidP="007C3F2E">
      <w:pPr>
        <w:pBdr>
          <w:top w:val="nil"/>
          <w:left w:val="nil"/>
          <w:bottom w:val="nil"/>
          <w:right w:val="nil"/>
          <w:between w:val="nil"/>
        </w:pBdr>
        <w:spacing w:before="160"/>
        <w:ind w:left="0" w:hanging="2"/>
        <w:rPr>
          <w:lang w:val="id-ID"/>
        </w:rPr>
      </w:pPr>
      <w:r w:rsidRPr="008D6BF1">
        <w:rPr>
          <w:lang w:val="id-ID"/>
        </w:rPr>
        <w:t>Analysis of empirical validity scores obtained from trials of 150 students using the Rasch model analysis with the help of the Ministep program.</w:t>
      </w:r>
    </w:p>
    <w:p w14:paraId="3C7F0A4B" w14:textId="1F02C236" w:rsidR="007C3F2E" w:rsidRDefault="007C3F2E" w:rsidP="007C3F2E">
      <w:pPr>
        <w:pBdr>
          <w:top w:val="nil"/>
          <w:left w:val="nil"/>
          <w:bottom w:val="nil"/>
          <w:right w:val="nil"/>
          <w:between w:val="nil"/>
        </w:pBdr>
        <w:spacing w:before="160"/>
        <w:ind w:left="0" w:hanging="2"/>
        <w:rPr>
          <w:i/>
          <w:iCs/>
          <w:lang w:val="id-ID"/>
        </w:rPr>
      </w:pPr>
      <w:r>
        <w:rPr>
          <w:i/>
        </w:rPr>
        <w:t>3</w:t>
      </w:r>
      <w:r w:rsidRPr="00B75FCE">
        <w:rPr>
          <w:i/>
        </w:rPr>
        <w:t>.</w:t>
      </w:r>
      <w:r>
        <w:rPr>
          <w:i/>
        </w:rPr>
        <w:t>2</w:t>
      </w:r>
      <w:r w:rsidRPr="00B75FCE">
        <w:rPr>
          <w:i/>
        </w:rPr>
        <w:t>.</w:t>
      </w:r>
      <w:r>
        <w:rPr>
          <w:i/>
        </w:rPr>
        <w:t>2</w:t>
      </w:r>
      <w:r w:rsidRPr="00B75FCE">
        <w:rPr>
          <w:i/>
        </w:rPr>
        <w:t xml:space="preserve">. </w:t>
      </w:r>
      <w:r w:rsidR="00C25FAA" w:rsidRPr="00C25FAA">
        <w:rPr>
          <w:i/>
          <w:iCs/>
          <w:lang w:val="id-ID"/>
        </w:rPr>
        <w:t>Quality Analysis of Chemical Literacy Assessment Instruments</w:t>
      </w:r>
      <w:r w:rsidR="00C25FAA" w:rsidRPr="00C25FAA">
        <w:rPr>
          <w:i/>
          <w:iCs/>
          <w:lang w:val="id-ID"/>
        </w:rPr>
        <w:t xml:space="preserve"> </w:t>
      </w:r>
    </w:p>
    <w:p w14:paraId="3AC91A16" w14:textId="087D1242" w:rsidR="0030554C" w:rsidRPr="0030554C" w:rsidRDefault="0030554C" w:rsidP="0030554C">
      <w:pPr>
        <w:pBdr>
          <w:top w:val="nil"/>
          <w:left w:val="nil"/>
          <w:bottom w:val="nil"/>
          <w:right w:val="nil"/>
          <w:between w:val="nil"/>
        </w:pBdr>
        <w:spacing w:before="160"/>
        <w:ind w:left="0" w:hanging="2"/>
        <w:rPr>
          <w:lang w:val="en-US"/>
        </w:rPr>
      </w:pPr>
      <w:r w:rsidRPr="0030554C">
        <w:rPr>
          <w:lang w:val="id-ID"/>
        </w:rPr>
        <w:t>Analysis of the quality of the Chemical Literacy Assessment Instrument using a unidimensional assumption test in the trial. The trial results were then analyzed using the grain response theory or Modern Item Response Theory (IRT), the Rasch model with the help of the Ministep program 3.73. According to</w:t>
      </w:r>
      <w:r w:rsidRPr="0030554C">
        <w:rPr>
          <w:lang w:val="en-US"/>
        </w:rPr>
        <w:t xml:space="preserve"> </w:t>
      </w:r>
      <w:r w:rsidRPr="0030554C">
        <w:rPr>
          <w:lang w:val="en-US"/>
        </w:rPr>
        <w:fldChar w:fldCharType="begin" w:fldLock="1"/>
      </w:r>
      <w:r w:rsidRPr="0030554C">
        <w:rPr>
          <w:lang w:val="en-US"/>
        </w:rPr>
        <w:instrText>ADDIN CSL_CITATION {"citationItems":[{"id":"ITEM-1","itemData":{"author":[{"dropping-particle":"","family":"G.Bond","given":"T.","non-dropping-particle":"","parse-names":false,"suffix":""},{"dropping-particle":"","family":"Fox","given":"C. M","non-dropping-particle":"","parse-names":false,"suffix":""}],"id":"ITEM-1","issued":{"date-parts":[["2015"]]},"publisher":"Routledge","publisher-place":"New York","title":"Applying the rasch model fundamental measurement in the human science (3rd ed.)","type":"book"},"uris":["http://www.mendeley.com/documents/?uuid=7b3556c1-a718-4f9c-9a13-c25bc5ac655b"]}],"mendeley":{"formattedCitation":"[38]","plainTextFormattedCitation":"[38]","previouslyFormattedCitation":"[38]"},"properties":{"noteIndex":0},"schema":"https://github.com/citation-style-language/schema/raw/master/csl-citation.json"}</w:instrText>
      </w:r>
      <w:r w:rsidRPr="0030554C">
        <w:rPr>
          <w:lang w:val="en-US"/>
        </w:rPr>
        <w:fldChar w:fldCharType="separate"/>
      </w:r>
      <w:r w:rsidRPr="0030554C">
        <w:rPr>
          <w:lang w:val="en-US"/>
        </w:rPr>
        <w:t>[38]</w:t>
      </w:r>
      <w:r w:rsidRPr="0030554C">
        <w:rPr>
          <w:lang w:val="id-ID"/>
        </w:rPr>
        <w:fldChar w:fldCharType="end"/>
      </w:r>
      <w:r w:rsidRPr="0030554C">
        <w:rPr>
          <w:lang w:val="en-US"/>
        </w:rPr>
        <w:t xml:space="preserve"> </w:t>
      </w:r>
      <w:r w:rsidRPr="0030554C">
        <w:rPr>
          <w:lang w:val="id-ID"/>
        </w:rPr>
        <w:t>explained that IRT uses the unidimensional concept of items used to measure something latent or in this study is the ability of students' chemical literacy</w:t>
      </w:r>
      <w:r w:rsidRPr="0030554C">
        <w:rPr>
          <w:lang w:val="en-US"/>
        </w:rPr>
        <w:t>.</w:t>
      </w:r>
    </w:p>
    <w:p w14:paraId="4FFA83C0" w14:textId="77777777" w:rsidR="0030554C" w:rsidRPr="0030554C" w:rsidRDefault="0030554C" w:rsidP="0030554C">
      <w:pPr>
        <w:pBdr>
          <w:top w:val="nil"/>
          <w:left w:val="nil"/>
          <w:bottom w:val="nil"/>
          <w:right w:val="nil"/>
          <w:between w:val="nil"/>
        </w:pBdr>
        <w:spacing w:before="160"/>
        <w:ind w:left="0" w:hanging="2"/>
        <w:rPr>
          <w:lang w:val="en-US"/>
        </w:rPr>
      </w:pPr>
      <w:r w:rsidRPr="0030554C">
        <w:rPr>
          <w:lang w:val="id-ID"/>
        </w:rPr>
        <w:t>The instrument unidimensionality test in the trial was obtained at 36.9%. Instrument trials have fulfilled the unidimensionality requirements with a minimum prerequisite requirement of unidimensionality of 20%</w:t>
      </w:r>
      <w:r w:rsidRPr="0030554C">
        <w:rPr>
          <w:lang w:val="en-US"/>
        </w:rPr>
        <w:t xml:space="preserve"> </w:t>
      </w:r>
      <w:r w:rsidRPr="0030554C">
        <w:rPr>
          <w:lang w:val="en-US"/>
        </w:rPr>
        <w:fldChar w:fldCharType="begin" w:fldLock="1"/>
      </w:r>
      <w:r w:rsidRPr="0030554C">
        <w:rPr>
          <w:lang w:val="en-US"/>
        </w:rPr>
        <w:instrText>ADDIN CSL_CITATION {"citationItems":[{"id":"ITEM-1","itemData":{"DOI":"10.6092/ISSN.1973-2201/3508","ISSN":"1973-2201","abstract":"Unidimensionality, that is the items in a questionnaire measure only a single construct, is a fundamental requirement for the Rasch model. The paper deals with the detection of unidimensionality making use of principal components analysis of residuals and item fit statistics. Simulated bi-dimensional data sets are analized in order to find regolarities in the behavoiur of these statistical tools. The results are applied to a real database coming from the satisfaction section of the first national survey concerning the social services sector carried out in Italy","author":[{"dropping-particle":"","family":"Brentani","given":"Eugenio","non-dropping-particle":"","parse-names":false,"suffix":""},{"dropping-particle":"","family":"Golia","given":"Silvia","non-dropping-particle":"","parse-names":false,"suffix":""}],"container-title":"Statistica","id":"ITEM-1","issue":"3","issued":{"date-parts":[["2007","9","30"]]},"page":"253-261","title":"Unidimensionality in the Rasch model: how to detect and interpret","type":"article-journal","volume":"67"},"uris":["http://www.mendeley.com/documents/?uuid=7bb5c6e8-0cf6-3805-ab9c-0067a9fd37f0"]},{"id":"ITEM-2","itemData":{"author":[{"dropping-particle":"","family":"Sumintono","given":"B","non-dropping-particle":"","parse-names":false,"suffix":""},{"dropping-particle":"","family":"Widhiarso","given":"W.","non-dropping-particle":"","parse-names":false,"suffix":""}],"id":"ITEM-2","issued":{"date-parts":[["2014"]]},"publisher":"Trim Komunikata Publishing House","publisher-place":"Cimahi","title":"Aplikasi model rasch untuk penelitian ilmu-ilmu soasial","type":"book"},"uris":["http://www.mendeley.com/documents/?uuid=75da4bb8-396f-45fe-98b3-fea887dcce56"]}],"mendeley":{"formattedCitation":"[39], [40]","plainTextFormattedCitation":"[39], [40]","previouslyFormattedCitation":"[39], [40]"},"properties":{"noteIndex":0},"schema":"https://github.com/citation-style-language/schema/raw/master/csl-citation.json"}</w:instrText>
      </w:r>
      <w:r w:rsidRPr="0030554C">
        <w:rPr>
          <w:lang w:val="en-US"/>
        </w:rPr>
        <w:fldChar w:fldCharType="separate"/>
      </w:r>
      <w:r w:rsidRPr="0030554C">
        <w:rPr>
          <w:lang w:val="en-US"/>
        </w:rPr>
        <w:t>[39], [40]</w:t>
      </w:r>
      <w:r w:rsidRPr="0030554C">
        <w:rPr>
          <w:lang w:val="id-ID"/>
        </w:rPr>
        <w:fldChar w:fldCharType="end"/>
      </w:r>
      <w:r w:rsidRPr="0030554C">
        <w:rPr>
          <w:lang w:val="en-US"/>
        </w:rPr>
        <w:t xml:space="preserve">. </w:t>
      </w:r>
      <w:r w:rsidRPr="0030554C">
        <w:rPr>
          <w:lang w:val="id-ID"/>
        </w:rPr>
        <w:lastRenderedPageBreak/>
        <w:t>The objective of instrument analysis is to obtain the characteristics of each item so that the instruments used are of good quality. The quality of the instrument can be seen from the analysis of 1) unidimensional trials, 2) the suitability of the items to the Rasch model as a normal function of the items seen from the output tables 10 item column: fit order, 3) Reliability and separation or groups of items and students, and 4) bias analysis of the items</w:t>
      </w:r>
      <w:r w:rsidRPr="0030554C">
        <w:rPr>
          <w:lang w:val="en-US"/>
        </w:rPr>
        <w:t>.</w:t>
      </w:r>
    </w:p>
    <w:p w14:paraId="13E2AFE9" w14:textId="3B518D0A" w:rsidR="00C25FAA" w:rsidRDefault="0030554C" w:rsidP="0030554C">
      <w:pPr>
        <w:pBdr>
          <w:top w:val="nil"/>
          <w:left w:val="nil"/>
          <w:bottom w:val="nil"/>
          <w:right w:val="nil"/>
          <w:between w:val="nil"/>
        </w:pBdr>
        <w:spacing w:before="160"/>
        <w:ind w:left="0" w:hanging="2"/>
        <w:rPr>
          <w:lang w:val="id-ID"/>
        </w:rPr>
      </w:pPr>
      <w:r w:rsidRPr="0030554C">
        <w:rPr>
          <w:lang w:val="id-ID"/>
        </w:rPr>
        <w:t>The level of suitability of the items to the Rasch model uses item fit. Analysis of measurement accuracy can be done by looking at the values ​​of the outfit mean square, outfit z-standard, and PT measure correlation. Items that meet the accuracy of measurement can be accepted or used as an instrument to make the desired measurement, namely measuring students' chemical literacy abilities. If the item is not fit (misfit), then the item may indicate a misunderstanding by the respondent. Criteria for the value of outfit mean square, outfit z-standard, and PT measure correlation can be determined from 1) the value of the outfit mean square (MNSQ) is acceptable if it is between 0.5 to 1.5; 2) the z-standard outfit value (ZSTD) is accepted if it is between 2.0 to +2.0; and 3) the value of Point measure Correlation (Pt Mean Corr) is between 0.4 to 0.85</w:t>
      </w:r>
      <w:r w:rsidRPr="0030554C">
        <w:rPr>
          <w:lang w:val="en-US"/>
        </w:rPr>
        <w:t xml:space="preserve"> </w:t>
      </w:r>
      <w:r w:rsidRPr="0030554C">
        <w:rPr>
          <w:lang w:val="en-US"/>
        </w:rPr>
        <w:fldChar w:fldCharType="begin" w:fldLock="1"/>
      </w:r>
      <w:r w:rsidRPr="0030554C">
        <w:rPr>
          <w:lang w:val="en-US"/>
        </w:rPr>
        <w:instrText>ADDIN CSL_CITATION {"citationItems":[{"id":"ITEM-1","itemData":{"author":[{"dropping-particle":"","family":"G.Bond","given":"T.","non-dropping-particle":"","parse-names":false,"suffix":""},{"dropping-particle":"","family":"Fox","given":"C. M","non-dropping-particle":"","parse-names":false,"suffix":""}],"id":"ITEM-1","issued":{"date-parts":[["2015"]]},"publisher":"Routledge","publisher-place":"New York","title":"Applying the rasch model fundamental measurement in the human science (3rd ed.)","type":"book"},"uris":["http://www.mendeley.com/documents/?uuid=7b3556c1-a718-4f9c-9a13-c25bc5ac655b"]},{"id":"ITEM-2","itemData":{"DOI":"10.1007/s11165-019-9819-y","author":[{"dropping-particle":"","family":"Park","given":"M","non-dropping-particle":"","parse-names":false,"suffix":""},{"dropping-particle":"","family":"Liu","given":"X","non-dropping-particle":"","parse-names":false,"suffix":""}],"container-title":"Research in Science Education","id":"ITEM-2","issue":"140","issued":{"date-parts":[["2019"]]},"page":"1-18","title":"An Investigation of Item Difficulties in Energy Aspects Across Biology, Chemistry, Environmental Science, and Physics","type":"article-journal","volume":"49"},"uris":["http://www.mendeley.com/documents/?uuid=1e0b0403-bf8e-4f68-a422-7092453b3cb8"]},{"id":"ITEM-3","itemData":{"author":[{"dropping-particle":"","family":"Sumintono","given":"B","non-dropping-particle":"","parse-names":false,"suffix":""},{"dropping-particle":"","family":"Widhiarso","given":"W.","non-dropping-particle":"","parse-names":false,"suffix":""}],"id":"ITEM-3","issued":{"date-parts":[["2014"]]},"publisher":"Trim Komunikata Publishing House","publisher-place":"Cimahi","title":"Aplikasi model rasch untuk penelitian ilmu-ilmu soasial","type":"book"},"uris":["http://www.mendeley.com/documents/?uuid=75da4bb8-396f-45fe-98b3-fea887dcce56"]}],"mendeley":{"formattedCitation":"[38], [40], [41]","plainTextFormattedCitation":"[38], [40], [41]","previouslyFormattedCitation":"[38], [40], [41]"},"properties":{"noteIndex":0},"schema":"https://github.com/citation-style-language/schema/raw/master/csl-citation.json"}</w:instrText>
      </w:r>
      <w:r w:rsidRPr="0030554C">
        <w:rPr>
          <w:lang w:val="en-US"/>
        </w:rPr>
        <w:fldChar w:fldCharType="separate"/>
      </w:r>
      <w:r w:rsidRPr="0030554C">
        <w:rPr>
          <w:lang w:val="en-US"/>
        </w:rPr>
        <w:t>[38], [40], [41]</w:t>
      </w:r>
      <w:r w:rsidRPr="0030554C">
        <w:rPr>
          <w:lang w:val="id-ID"/>
        </w:rPr>
        <w:fldChar w:fldCharType="end"/>
      </w:r>
      <w:r w:rsidRPr="0030554C">
        <w:rPr>
          <w:lang w:val="en-US"/>
        </w:rPr>
        <w:t xml:space="preserve">. </w:t>
      </w:r>
      <w:r w:rsidRPr="0030554C">
        <w:rPr>
          <w:lang w:val="id-ID"/>
        </w:rPr>
        <w:t>If the item does not meet at least two of these criteria, then the item is said to be unfit (misfit) so it is eliminated or needs to be replaced. The results of the item fit analysis of the test items are presented in Figure 2.</w:t>
      </w:r>
    </w:p>
    <w:p w14:paraId="08D7A333" w14:textId="52E1D23A" w:rsidR="00990E2B" w:rsidRDefault="00990E2B" w:rsidP="001669D0">
      <w:pPr>
        <w:pBdr>
          <w:top w:val="nil"/>
          <w:left w:val="nil"/>
          <w:bottom w:val="nil"/>
          <w:right w:val="nil"/>
          <w:between w:val="nil"/>
        </w:pBdr>
        <w:spacing w:before="160"/>
        <w:ind w:left="0" w:hanging="2"/>
        <w:jc w:val="center"/>
        <w:rPr>
          <w:lang w:val="id-ID"/>
        </w:rPr>
      </w:pPr>
      <w:r>
        <w:rPr>
          <w:noProof/>
          <w:lang w:val="id-ID"/>
        </w:rPr>
        <w:drawing>
          <wp:inline distT="0" distB="0" distL="0" distR="0" wp14:anchorId="411BDBE1" wp14:editId="165739E7">
            <wp:extent cx="6296974" cy="2044927"/>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0117" cy="2055690"/>
                    </a:xfrm>
                    <a:prstGeom prst="rect">
                      <a:avLst/>
                    </a:prstGeom>
                    <a:noFill/>
                  </pic:spPr>
                </pic:pic>
              </a:graphicData>
            </a:graphic>
          </wp:inline>
        </w:drawing>
      </w:r>
    </w:p>
    <w:p w14:paraId="7CF42E58" w14:textId="2A502683" w:rsidR="007B049D" w:rsidRDefault="007B049D" w:rsidP="007B049D">
      <w:pPr>
        <w:pBdr>
          <w:top w:val="nil"/>
          <w:left w:val="nil"/>
          <w:bottom w:val="nil"/>
          <w:right w:val="nil"/>
          <w:between w:val="nil"/>
        </w:pBdr>
        <w:spacing w:before="160"/>
        <w:ind w:left="0" w:firstLine="0"/>
        <w:rPr>
          <w:lang w:val="id-ID"/>
        </w:rPr>
      </w:pPr>
      <w:r>
        <w:rPr>
          <w:b/>
        </w:rPr>
        <w:t xml:space="preserve">Figure </w:t>
      </w:r>
      <w:r w:rsidR="00990E2B">
        <w:rPr>
          <w:b/>
        </w:rPr>
        <w:t>2</w:t>
      </w:r>
      <w:r w:rsidR="00392978">
        <w:rPr>
          <w:b/>
        </w:rPr>
        <w:t xml:space="preserve"> </w:t>
      </w:r>
      <w:r w:rsidR="004E413C" w:rsidRPr="004E413C">
        <w:rPr>
          <w:bCs/>
          <w:lang w:val="id-ID"/>
        </w:rPr>
        <w:t xml:space="preserve">Diagram </w:t>
      </w:r>
      <w:r w:rsidR="004E413C" w:rsidRPr="004E413C">
        <w:rPr>
          <w:bCs/>
          <w:lang w:val="en-US"/>
        </w:rPr>
        <w:t>of item fit analysis</w:t>
      </w:r>
    </w:p>
    <w:p w14:paraId="6F9B0CA2" w14:textId="127E4B2B" w:rsidR="00E33890" w:rsidRDefault="006331F5" w:rsidP="00FB103E">
      <w:pPr>
        <w:pBdr>
          <w:top w:val="nil"/>
          <w:left w:val="nil"/>
          <w:bottom w:val="nil"/>
          <w:right w:val="nil"/>
          <w:between w:val="nil"/>
        </w:pBdr>
        <w:spacing w:before="240" w:line="240" w:lineRule="auto"/>
        <w:ind w:left="0" w:firstLine="0"/>
        <w:rPr>
          <w:b/>
          <w:sz w:val="23"/>
          <w:szCs w:val="23"/>
        </w:rPr>
      </w:pPr>
      <w:r w:rsidRPr="006331F5">
        <w:rPr>
          <w:lang w:val="id-ID"/>
        </w:rPr>
        <w:t>Based on the figure, 25 items meet the MNSQ score criteria between 0.5 and 1.5; ZSTD values ​​are between -2.0 to +2.0; and/or the Pt Mean Corr value is between 0.4 to 0.85 (Bond &amp; Fox, 2015; Sumintono &amp; Widhiarso, 2014; Park &amp; ​​Liu, 2019). In general, of the instruments tested in the tryout, 25 items met the criteria for the MNSQ, ZSTD, and/or Pt Mean Corr scores. The requirements for suitability of the items with the Rasch model also show that the items used can measure students' chemical literacy abilities well. A total of 25 questions were then used as the final product of developing an assessment instrument</w:t>
      </w:r>
      <w:r w:rsidRPr="006331F5">
        <w:rPr>
          <w:lang w:val="en-US"/>
        </w:rPr>
        <w:t>.</w:t>
      </w:r>
    </w:p>
    <w:p w14:paraId="6F9B0CA3" w14:textId="06591671" w:rsidR="00E33890" w:rsidRDefault="00383A05">
      <w:pPr>
        <w:pBdr>
          <w:top w:val="nil"/>
          <w:left w:val="nil"/>
          <w:bottom w:val="nil"/>
          <w:right w:val="nil"/>
          <w:between w:val="nil"/>
        </w:pBdr>
        <w:spacing w:before="240" w:line="240" w:lineRule="auto"/>
        <w:ind w:left="0" w:hanging="2"/>
        <w:rPr>
          <w:i/>
          <w:iCs/>
          <w:lang w:val="id-ID"/>
        </w:rPr>
      </w:pPr>
      <w:r>
        <w:rPr>
          <w:i/>
        </w:rPr>
        <w:t>3</w:t>
      </w:r>
      <w:r w:rsidRPr="00B75FCE">
        <w:rPr>
          <w:i/>
        </w:rPr>
        <w:t>.</w:t>
      </w:r>
      <w:r>
        <w:rPr>
          <w:i/>
        </w:rPr>
        <w:t>2</w:t>
      </w:r>
      <w:r w:rsidRPr="00B75FCE">
        <w:rPr>
          <w:i/>
        </w:rPr>
        <w:t>.</w:t>
      </w:r>
      <w:r w:rsidR="008D0EE6">
        <w:rPr>
          <w:i/>
        </w:rPr>
        <w:t>3</w:t>
      </w:r>
      <w:r w:rsidRPr="00B75FCE">
        <w:rPr>
          <w:i/>
        </w:rPr>
        <w:t xml:space="preserve">. </w:t>
      </w:r>
      <w:r w:rsidR="00460183" w:rsidRPr="00460183">
        <w:rPr>
          <w:i/>
          <w:iCs/>
          <w:lang w:val="id-ID"/>
        </w:rPr>
        <w:t>Reliability Test in Summary Statistics</w:t>
      </w:r>
      <w:r w:rsidR="00460183" w:rsidRPr="00460183">
        <w:rPr>
          <w:i/>
          <w:iCs/>
          <w:lang w:val="id-ID"/>
        </w:rPr>
        <w:t xml:space="preserve"> </w:t>
      </w:r>
    </w:p>
    <w:p w14:paraId="5DDE4F30" w14:textId="35959BD1" w:rsidR="00460183" w:rsidRDefault="006E2E18">
      <w:pPr>
        <w:pBdr>
          <w:top w:val="nil"/>
          <w:left w:val="nil"/>
          <w:bottom w:val="nil"/>
          <w:right w:val="nil"/>
          <w:between w:val="nil"/>
        </w:pBdr>
        <w:spacing w:before="240" w:line="240" w:lineRule="auto"/>
        <w:ind w:left="0" w:hanging="2"/>
        <w:rPr>
          <w:lang w:val="en-US"/>
        </w:rPr>
      </w:pPr>
      <w:r>
        <w:rPr>
          <w:noProof/>
        </w:rPr>
        <mc:AlternateContent>
          <mc:Choice Requires="wps">
            <w:drawing>
              <wp:anchor distT="45720" distB="45720" distL="114300" distR="114300" simplePos="0" relativeHeight="251661312" behindDoc="0" locked="0" layoutInCell="1" hidden="0" allowOverlap="1" wp14:anchorId="4269B982" wp14:editId="478769AE">
                <wp:simplePos x="0" y="0"/>
                <wp:positionH relativeFrom="margin">
                  <wp:align>left</wp:align>
                </wp:positionH>
                <wp:positionV relativeFrom="paragraph">
                  <wp:posOffset>1348789</wp:posOffset>
                </wp:positionV>
                <wp:extent cx="5657850" cy="1208405"/>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5657850" cy="1208405"/>
                        </a:xfrm>
                        <a:prstGeom prst="rect">
                          <a:avLst/>
                        </a:prstGeom>
                        <a:solidFill>
                          <a:srgbClr val="FFFFFF"/>
                        </a:solidFill>
                        <a:ln w="9525" cap="flat" cmpd="sng">
                          <a:noFill/>
                          <a:prstDash val="solid"/>
                          <a:miter lim="800000"/>
                          <a:headEnd type="none" w="sm" len="sm"/>
                          <a:tailEnd type="none" w="sm" len="sm"/>
                        </a:ln>
                      </wps:spPr>
                      <wps:txbx>
                        <w:txbxContent>
                          <w:p w14:paraId="65621380" w14:textId="52AC3DC6" w:rsidR="0051195A" w:rsidRDefault="0051195A" w:rsidP="0051195A">
                            <w:pPr>
                              <w:spacing w:after="120" w:line="258" w:lineRule="auto"/>
                              <w:ind w:left="0" w:hanging="2"/>
                              <w:textDirection w:val="btLr"/>
                            </w:pPr>
                            <w:r>
                              <w:rPr>
                                <w:b/>
                              </w:rPr>
                              <w:t xml:space="preserve">Table </w:t>
                            </w:r>
                            <w:r w:rsidR="00EE1B16">
                              <w:rPr>
                                <w:b/>
                              </w:rPr>
                              <w:t>2</w:t>
                            </w:r>
                            <w:r>
                              <w:rPr>
                                <w:b/>
                              </w:rPr>
                              <w:t>.</w:t>
                            </w:r>
                            <w:r>
                              <w:t xml:space="preserve"> </w:t>
                            </w:r>
                            <w:r w:rsidR="00EE1B16" w:rsidRPr="00EE1B16">
                              <w:rPr>
                                <w:lang w:val="id-ID"/>
                              </w:rPr>
                              <w:t>Reliability Values ​​in the Reliability Test</w:t>
                            </w:r>
                          </w:p>
                          <w:tbl>
                            <w:tblPr>
                              <w:tblW w:w="0" w:type="auto"/>
                              <w:jc w:val="center"/>
                              <w:tblLook w:val="04A0" w:firstRow="1" w:lastRow="0" w:firstColumn="1" w:lastColumn="0" w:noHBand="0" w:noVBand="1"/>
                            </w:tblPr>
                            <w:tblGrid>
                              <w:gridCol w:w="3402"/>
                              <w:gridCol w:w="1134"/>
                              <w:gridCol w:w="2126"/>
                            </w:tblGrid>
                            <w:tr w:rsidR="008D0EE6" w:rsidRPr="00066FBE" w14:paraId="23929041" w14:textId="77777777" w:rsidTr="0079549B">
                              <w:trPr>
                                <w:trHeight w:val="359"/>
                                <w:jc w:val="center"/>
                              </w:trPr>
                              <w:tc>
                                <w:tcPr>
                                  <w:tcW w:w="3402" w:type="dxa"/>
                                  <w:tcBorders>
                                    <w:top w:val="single" w:sz="4" w:space="0" w:color="auto"/>
                                    <w:bottom w:val="single" w:sz="4" w:space="0" w:color="auto"/>
                                  </w:tcBorders>
                                </w:tcPr>
                                <w:p w14:paraId="4D9C4D26" w14:textId="77777777" w:rsidR="008D0EE6" w:rsidRPr="004A2888" w:rsidRDefault="008D0EE6" w:rsidP="008D0EE6">
                                  <w:pPr>
                                    <w:pStyle w:val="Default"/>
                                    <w:jc w:val="center"/>
                                    <w:rPr>
                                      <w:rFonts w:eastAsia="Times New Roman"/>
                                      <w:b/>
                                      <w:bCs/>
                                      <w:sz w:val="20"/>
                                      <w:szCs w:val="20"/>
                                      <w:lang w:eastAsia="id-ID"/>
                                    </w:rPr>
                                  </w:pPr>
                                  <w:r w:rsidRPr="004A2888">
                                    <w:rPr>
                                      <w:rFonts w:eastAsia="Times New Roman"/>
                                      <w:b/>
                                      <w:bCs/>
                                      <w:sz w:val="20"/>
                                      <w:szCs w:val="20"/>
                                      <w:lang w:eastAsia="id-ID"/>
                                    </w:rPr>
                                    <w:t>Reliabilit</w:t>
                                  </w:r>
                                  <w:r>
                                    <w:rPr>
                                      <w:rFonts w:eastAsia="Times New Roman"/>
                                      <w:b/>
                                      <w:bCs/>
                                      <w:sz w:val="20"/>
                                      <w:szCs w:val="20"/>
                                      <w:lang w:eastAsia="id-ID"/>
                                    </w:rPr>
                                    <w:t>y</w:t>
                                  </w:r>
                                </w:p>
                              </w:tc>
                              <w:tc>
                                <w:tcPr>
                                  <w:tcW w:w="1134" w:type="dxa"/>
                                  <w:tcBorders>
                                    <w:top w:val="single" w:sz="4" w:space="0" w:color="auto"/>
                                    <w:bottom w:val="single" w:sz="4" w:space="0" w:color="auto"/>
                                  </w:tcBorders>
                                </w:tcPr>
                                <w:p w14:paraId="00487D3B" w14:textId="77777777" w:rsidR="008D0EE6" w:rsidRPr="004A2888" w:rsidRDefault="008D0EE6" w:rsidP="008D0EE6">
                                  <w:pPr>
                                    <w:pStyle w:val="Default"/>
                                    <w:rPr>
                                      <w:rFonts w:eastAsia="Times New Roman"/>
                                      <w:b/>
                                      <w:bCs/>
                                      <w:sz w:val="20"/>
                                      <w:szCs w:val="20"/>
                                      <w:lang w:eastAsia="id-ID"/>
                                    </w:rPr>
                                  </w:pPr>
                                  <w:r>
                                    <w:rPr>
                                      <w:rFonts w:eastAsia="Times New Roman"/>
                                      <w:b/>
                                      <w:bCs/>
                                      <w:sz w:val="20"/>
                                      <w:szCs w:val="20"/>
                                      <w:lang w:eastAsia="id-ID"/>
                                    </w:rPr>
                                    <w:t>Values</w:t>
                                  </w:r>
                                </w:p>
                              </w:tc>
                              <w:tc>
                                <w:tcPr>
                                  <w:tcW w:w="2126" w:type="dxa"/>
                                  <w:tcBorders>
                                    <w:top w:val="single" w:sz="4" w:space="0" w:color="auto"/>
                                    <w:bottom w:val="single" w:sz="4" w:space="0" w:color="auto"/>
                                  </w:tcBorders>
                                </w:tcPr>
                                <w:p w14:paraId="77F8EC6A" w14:textId="77777777" w:rsidR="008D0EE6" w:rsidRPr="004A2888" w:rsidRDefault="008D0EE6" w:rsidP="008D0EE6">
                                  <w:pPr>
                                    <w:pStyle w:val="Default"/>
                                    <w:rPr>
                                      <w:rFonts w:eastAsia="Times New Roman"/>
                                      <w:b/>
                                      <w:bCs/>
                                      <w:sz w:val="20"/>
                                      <w:szCs w:val="20"/>
                                      <w:lang w:eastAsia="id-ID"/>
                                    </w:rPr>
                                  </w:pPr>
                                  <w:r>
                                    <w:rPr>
                                      <w:rFonts w:eastAsia="Times New Roman"/>
                                      <w:b/>
                                      <w:bCs/>
                                      <w:sz w:val="20"/>
                                      <w:szCs w:val="20"/>
                                      <w:lang w:eastAsia="id-ID"/>
                                    </w:rPr>
                                    <w:t>Category</w:t>
                                  </w:r>
                                </w:p>
                              </w:tc>
                            </w:tr>
                            <w:tr w:rsidR="008D0EE6" w:rsidRPr="00066FBE" w14:paraId="649CE3FF" w14:textId="77777777" w:rsidTr="0079549B">
                              <w:trPr>
                                <w:jc w:val="center"/>
                              </w:trPr>
                              <w:tc>
                                <w:tcPr>
                                  <w:tcW w:w="3402" w:type="dxa"/>
                                  <w:tcBorders>
                                    <w:top w:val="single" w:sz="4" w:space="0" w:color="auto"/>
                                  </w:tcBorders>
                                </w:tcPr>
                                <w:p w14:paraId="48B4C523" w14:textId="77777777" w:rsidR="008D0EE6" w:rsidRPr="004A2888" w:rsidRDefault="008D0EE6" w:rsidP="008D0EE6">
                                  <w:pPr>
                                    <w:pStyle w:val="Default"/>
                                    <w:jc w:val="both"/>
                                    <w:rPr>
                                      <w:rFonts w:eastAsia="Times New Roman"/>
                                      <w:sz w:val="20"/>
                                      <w:szCs w:val="20"/>
                                      <w:lang w:eastAsia="id-ID"/>
                                    </w:rPr>
                                  </w:pPr>
                                  <w:r>
                                    <w:rPr>
                                      <w:rFonts w:eastAsia="Times New Roman"/>
                                      <w:sz w:val="20"/>
                                      <w:szCs w:val="20"/>
                                      <w:lang w:eastAsia="id-ID"/>
                                    </w:rPr>
                                    <w:t>Reliability</w:t>
                                  </w:r>
                                  <w:r w:rsidRPr="004A2888">
                                    <w:rPr>
                                      <w:rFonts w:eastAsia="Times New Roman"/>
                                      <w:sz w:val="20"/>
                                      <w:szCs w:val="20"/>
                                      <w:lang w:eastAsia="id-ID"/>
                                    </w:rPr>
                                    <w:t xml:space="preserve"> Item </w:t>
                                  </w:r>
                                </w:p>
                              </w:tc>
                              <w:tc>
                                <w:tcPr>
                                  <w:tcW w:w="1134" w:type="dxa"/>
                                  <w:tcBorders>
                                    <w:top w:val="single" w:sz="4" w:space="0" w:color="auto"/>
                                  </w:tcBorders>
                                </w:tcPr>
                                <w:p w14:paraId="59FB9A0B" w14:textId="77777777" w:rsidR="008D0EE6" w:rsidRPr="004A2888" w:rsidRDefault="008D0EE6" w:rsidP="008D0EE6">
                                  <w:pPr>
                                    <w:rPr>
                                      <w:lang w:val="en-US"/>
                                    </w:rPr>
                                  </w:pPr>
                                  <w:r w:rsidRPr="004A2888">
                                    <w:rPr>
                                      <w:lang w:val="en-US"/>
                                    </w:rPr>
                                    <w:t xml:space="preserve">0,48 </w:t>
                                  </w:r>
                                </w:p>
                              </w:tc>
                              <w:tc>
                                <w:tcPr>
                                  <w:tcW w:w="2126" w:type="dxa"/>
                                  <w:tcBorders>
                                    <w:top w:val="single" w:sz="4" w:space="0" w:color="auto"/>
                                  </w:tcBorders>
                                </w:tcPr>
                                <w:p w14:paraId="24517908" w14:textId="77777777" w:rsidR="008D0EE6" w:rsidRPr="004A2888" w:rsidRDefault="008D0EE6" w:rsidP="008D0EE6">
                                  <w:pPr>
                                    <w:rPr>
                                      <w:lang w:val="en-US"/>
                                    </w:rPr>
                                  </w:pPr>
                                  <w:r>
                                    <w:t>Moderate</w:t>
                                  </w:r>
                                </w:p>
                              </w:tc>
                            </w:tr>
                            <w:tr w:rsidR="008D0EE6" w:rsidRPr="00066FBE" w14:paraId="28289724" w14:textId="77777777" w:rsidTr="0079549B">
                              <w:trPr>
                                <w:jc w:val="center"/>
                              </w:trPr>
                              <w:tc>
                                <w:tcPr>
                                  <w:tcW w:w="3402" w:type="dxa"/>
                                </w:tcPr>
                                <w:p w14:paraId="71E3A166" w14:textId="77777777" w:rsidR="008D0EE6" w:rsidRPr="004A2888" w:rsidRDefault="008D0EE6" w:rsidP="008D0EE6">
                                  <w:pPr>
                                    <w:pStyle w:val="Default"/>
                                    <w:jc w:val="both"/>
                                    <w:rPr>
                                      <w:rFonts w:eastAsia="Times New Roman"/>
                                      <w:sz w:val="20"/>
                                      <w:szCs w:val="20"/>
                                      <w:lang w:eastAsia="id-ID"/>
                                    </w:rPr>
                                  </w:pPr>
                                  <w:r>
                                    <w:rPr>
                                      <w:rFonts w:eastAsia="Times New Roman"/>
                                      <w:sz w:val="20"/>
                                      <w:szCs w:val="20"/>
                                      <w:lang w:eastAsia="id-ID"/>
                                    </w:rPr>
                                    <w:t>Reliability</w:t>
                                  </w:r>
                                  <w:r w:rsidRPr="004A2888">
                                    <w:rPr>
                                      <w:rFonts w:eastAsia="Times New Roman"/>
                                      <w:sz w:val="20"/>
                                      <w:szCs w:val="20"/>
                                      <w:lang w:eastAsia="id-ID"/>
                                    </w:rPr>
                                    <w:t xml:space="preserve"> Person </w:t>
                                  </w:r>
                                </w:p>
                              </w:tc>
                              <w:tc>
                                <w:tcPr>
                                  <w:tcW w:w="1134" w:type="dxa"/>
                                </w:tcPr>
                                <w:p w14:paraId="44B3B83F" w14:textId="77777777" w:rsidR="008D0EE6" w:rsidRPr="004A2888" w:rsidRDefault="008D0EE6" w:rsidP="008D0EE6">
                                  <w:pPr>
                                    <w:rPr>
                                      <w:lang w:val="en-US"/>
                                    </w:rPr>
                                  </w:pPr>
                                  <w:r w:rsidRPr="004A2888">
                                    <w:rPr>
                                      <w:lang w:val="en-US"/>
                                    </w:rPr>
                                    <w:t xml:space="preserve">0,56 </w:t>
                                  </w:r>
                                </w:p>
                              </w:tc>
                              <w:tc>
                                <w:tcPr>
                                  <w:tcW w:w="2126" w:type="dxa"/>
                                </w:tcPr>
                                <w:p w14:paraId="3DB01BD5" w14:textId="77777777" w:rsidR="008D0EE6" w:rsidRPr="004A2888" w:rsidRDefault="008D0EE6" w:rsidP="008D0EE6">
                                  <w:pPr>
                                    <w:rPr>
                                      <w:lang w:val="en-US"/>
                                    </w:rPr>
                                  </w:pPr>
                                  <w:r>
                                    <w:t>Moderate</w:t>
                                  </w:r>
                                </w:p>
                              </w:tc>
                            </w:tr>
                            <w:tr w:rsidR="008D0EE6" w:rsidRPr="00066FBE" w14:paraId="2298A7CF" w14:textId="77777777" w:rsidTr="0079549B">
                              <w:trPr>
                                <w:jc w:val="center"/>
                              </w:trPr>
                              <w:tc>
                                <w:tcPr>
                                  <w:tcW w:w="3402" w:type="dxa"/>
                                  <w:tcBorders>
                                    <w:bottom w:val="single" w:sz="4" w:space="0" w:color="auto"/>
                                  </w:tcBorders>
                                </w:tcPr>
                                <w:p w14:paraId="383B14F9" w14:textId="77777777" w:rsidR="008D0EE6" w:rsidRPr="004A2888" w:rsidRDefault="008D0EE6" w:rsidP="008D0EE6">
                                  <w:pPr>
                                    <w:pStyle w:val="Default"/>
                                    <w:jc w:val="both"/>
                                    <w:rPr>
                                      <w:rFonts w:eastAsia="Times New Roman"/>
                                      <w:sz w:val="20"/>
                                      <w:szCs w:val="20"/>
                                      <w:lang w:eastAsia="id-ID"/>
                                    </w:rPr>
                                  </w:pPr>
                                  <w:r w:rsidRPr="004A2888">
                                    <w:rPr>
                                      <w:rFonts w:eastAsia="Times New Roman"/>
                                      <w:sz w:val="20"/>
                                      <w:szCs w:val="20"/>
                                      <w:lang w:eastAsia="id-ID"/>
                                    </w:rPr>
                                    <w:t xml:space="preserve">Cronbach Alpha </w:t>
                                  </w:r>
                                </w:p>
                              </w:tc>
                              <w:tc>
                                <w:tcPr>
                                  <w:tcW w:w="1134" w:type="dxa"/>
                                  <w:tcBorders>
                                    <w:bottom w:val="single" w:sz="4" w:space="0" w:color="auto"/>
                                  </w:tcBorders>
                                </w:tcPr>
                                <w:p w14:paraId="4DA06694" w14:textId="77777777" w:rsidR="008D0EE6" w:rsidRPr="004A2888" w:rsidRDefault="008D0EE6" w:rsidP="008D0EE6">
                                  <w:pPr>
                                    <w:rPr>
                                      <w:lang w:val="en-US"/>
                                    </w:rPr>
                                  </w:pPr>
                                  <w:r w:rsidRPr="004A2888">
                                    <w:rPr>
                                      <w:lang w:val="en-US"/>
                                    </w:rPr>
                                    <w:t xml:space="preserve">0,69 </w:t>
                                  </w:r>
                                </w:p>
                              </w:tc>
                              <w:tc>
                                <w:tcPr>
                                  <w:tcW w:w="2126" w:type="dxa"/>
                                  <w:tcBorders>
                                    <w:bottom w:val="single" w:sz="4" w:space="0" w:color="auto"/>
                                  </w:tcBorders>
                                </w:tcPr>
                                <w:p w14:paraId="1D8C189B" w14:textId="77777777" w:rsidR="008D0EE6" w:rsidRPr="004A2888" w:rsidRDefault="008D0EE6" w:rsidP="008D0EE6">
                                  <w:pPr>
                                    <w:rPr>
                                      <w:lang w:val="en-US"/>
                                    </w:rPr>
                                  </w:pPr>
                                  <w:r>
                                    <w:t>Sufficient</w:t>
                                  </w:r>
                                  <w:r w:rsidRPr="004A2888">
                                    <w:rPr>
                                      <w:lang w:val="en-US"/>
                                    </w:rPr>
                                    <w:t xml:space="preserve"> </w:t>
                                  </w:r>
                                </w:p>
                              </w:tc>
                            </w:tr>
                          </w:tbl>
                          <w:p w14:paraId="37245B59" w14:textId="77777777" w:rsidR="0051195A" w:rsidRDefault="0051195A" w:rsidP="0051195A">
                            <w:pPr>
                              <w:spacing w:line="258" w:lineRule="auto"/>
                              <w:ind w:left="0" w:hanging="2"/>
                              <w:textDirection w:val="btLr"/>
                            </w:pPr>
                          </w:p>
                          <w:p w14:paraId="08D145D8" w14:textId="77777777" w:rsidR="0051195A" w:rsidRDefault="0051195A" w:rsidP="0051195A">
                            <w:pPr>
                              <w:spacing w:line="258" w:lineRule="auto"/>
                              <w:ind w:left="0" w:hanging="2"/>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69B982" id="Rectangle 24" o:spid="_x0000_s1038" style="position:absolute;left:0;text-align:left;margin-left:0;margin-top:106.2pt;width:445.5pt;height:95.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" stroked="f">
                <v:stroke startarrowwidth="narrow" startarrowlength="short" endarrowwidth="narrow" endarrowlength="short"/>
                <v:textbox inset="2.53958mm,1.2694mm,2.53958mm,1.2694mm">
                  <w:txbxContent>
                    <w:p w14:paraId="65621380" w14:textId="52AC3DC6" w:rsidR="0051195A" w:rsidRDefault="0051195A" w:rsidP="0051195A">
                      <w:pPr>
                        <w:spacing w:after="120" w:line="258" w:lineRule="auto"/>
                        <w:ind w:left="0" w:hanging="2"/>
                        <w:textDirection w:val="btLr"/>
                      </w:pPr>
                      <w:r>
                        <w:rPr>
                          <w:b/>
                        </w:rPr>
                        <w:t xml:space="preserve">Table </w:t>
                      </w:r>
                      <w:r w:rsidR="00EE1B16">
                        <w:rPr>
                          <w:b/>
                        </w:rPr>
                        <w:t>2</w:t>
                      </w:r>
                      <w:r>
                        <w:rPr>
                          <w:b/>
                        </w:rPr>
                        <w:t>.</w:t>
                      </w:r>
                      <w:r>
                        <w:t xml:space="preserve"> </w:t>
                      </w:r>
                      <w:r w:rsidR="00EE1B16" w:rsidRPr="00EE1B16">
                        <w:rPr>
                          <w:lang w:val="id-ID"/>
                        </w:rPr>
                        <w:t>Reliability Values ​​in the Reliability Test</w:t>
                      </w:r>
                    </w:p>
                    <w:tbl>
                      <w:tblPr>
                        <w:tblW w:w="0" w:type="auto"/>
                        <w:jc w:val="center"/>
                        <w:tblLook w:val="04A0" w:firstRow="1" w:lastRow="0" w:firstColumn="1" w:lastColumn="0" w:noHBand="0" w:noVBand="1"/>
                      </w:tblPr>
                      <w:tblGrid>
                        <w:gridCol w:w="3402"/>
                        <w:gridCol w:w="1134"/>
                        <w:gridCol w:w="2126"/>
                      </w:tblGrid>
                      <w:tr w:rsidR="008D0EE6" w:rsidRPr="00066FBE" w14:paraId="23929041" w14:textId="77777777" w:rsidTr="0079549B">
                        <w:trPr>
                          <w:trHeight w:val="359"/>
                          <w:jc w:val="center"/>
                        </w:trPr>
                        <w:tc>
                          <w:tcPr>
                            <w:tcW w:w="3402" w:type="dxa"/>
                            <w:tcBorders>
                              <w:top w:val="single" w:sz="4" w:space="0" w:color="auto"/>
                              <w:bottom w:val="single" w:sz="4" w:space="0" w:color="auto"/>
                            </w:tcBorders>
                          </w:tcPr>
                          <w:p w14:paraId="4D9C4D26" w14:textId="77777777" w:rsidR="008D0EE6" w:rsidRPr="004A2888" w:rsidRDefault="008D0EE6" w:rsidP="008D0EE6">
                            <w:pPr>
                              <w:pStyle w:val="Default"/>
                              <w:jc w:val="center"/>
                              <w:rPr>
                                <w:rFonts w:eastAsia="Times New Roman"/>
                                <w:b/>
                                <w:bCs/>
                                <w:sz w:val="20"/>
                                <w:szCs w:val="20"/>
                                <w:lang w:eastAsia="id-ID"/>
                              </w:rPr>
                            </w:pPr>
                            <w:r w:rsidRPr="004A2888">
                              <w:rPr>
                                <w:rFonts w:eastAsia="Times New Roman"/>
                                <w:b/>
                                <w:bCs/>
                                <w:sz w:val="20"/>
                                <w:szCs w:val="20"/>
                                <w:lang w:eastAsia="id-ID"/>
                              </w:rPr>
                              <w:t>Reliabilit</w:t>
                            </w:r>
                            <w:r>
                              <w:rPr>
                                <w:rFonts w:eastAsia="Times New Roman"/>
                                <w:b/>
                                <w:bCs/>
                                <w:sz w:val="20"/>
                                <w:szCs w:val="20"/>
                                <w:lang w:eastAsia="id-ID"/>
                              </w:rPr>
                              <w:t>y</w:t>
                            </w:r>
                          </w:p>
                        </w:tc>
                        <w:tc>
                          <w:tcPr>
                            <w:tcW w:w="1134" w:type="dxa"/>
                            <w:tcBorders>
                              <w:top w:val="single" w:sz="4" w:space="0" w:color="auto"/>
                              <w:bottom w:val="single" w:sz="4" w:space="0" w:color="auto"/>
                            </w:tcBorders>
                          </w:tcPr>
                          <w:p w14:paraId="00487D3B" w14:textId="77777777" w:rsidR="008D0EE6" w:rsidRPr="004A2888" w:rsidRDefault="008D0EE6" w:rsidP="008D0EE6">
                            <w:pPr>
                              <w:pStyle w:val="Default"/>
                              <w:rPr>
                                <w:rFonts w:eastAsia="Times New Roman"/>
                                <w:b/>
                                <w:bCs/>
                                <w:sz w:val="20"/>
                                <w:szCs w:val="20"/>
                                <w:lang w:eastAsia="id-ID"/>
                              </w:rPr>
                            </w:pPr>
                            <w:r>
                              <w:rPr>
                                <w:rFonts w:eastAsia="Times New Roman"/>
                                <w:b/>
                                <w:bCs/>
                                <w:sz w:val="20"/>
                                <w:szCs w:val="20"/>
                                <w:lang w:eastAsia="id-ID"/>
                              </w:rPr>
                              <w:t>Values</w:t>
                            </w:r>
                          </w:p>
                        </w:tc>
                        <w:tc>
                          <w:tcPr>
                            <w:tcW w:w="2126" w:type="dxa"/>
                            <w:tcBorders>
                              <w:top w:val="single" w:sz="4" w:space="0" w:color="auto"/>
                              <w:bottom w:val="single" w:sz="4" w:space="0" w:color="auto"/>
                            </w:tcBorders>
                          </w:tcPr>
                          <w:p w14:paraId="77F8EC6A" w14:textId="77777777" w:rsidR="008D0EE6" w:rsidRPr="004A2888" w:rsidRDefault="008D0EE6" w:rsidP="008D0EE6">
                            <w:pPr>
                              <w:pStyle w:val="Default"/>
                              <w:rPr>
                                <w:rFonts w:eastAsia="Times New Roman"/>
                                <w:b/>
                                <w:bCs/>
                                <w:sz w:val="20"/>
                                <w:szCs w:val="20"/>
                                <w:lang w:eastAsia="id-ID"/>
                              </w:rPr>
                            </w:pPr>
                            <w:r>
                              <w:rPr>
                                <w:rFonts w:eastAsia="Times New Roman"/>
                                <w:b/>
                                <w:bCs/>
                                <w:sz w:val="20"/>
                                <w:szCs w:val="20"/>
                                <w:lang w:eastAsia="id-ID"/>
                              </w:rPr>
                              <w:t>Category</w:t>
                            </w:r>
                          </w:p>
                        </w:tc>
                      </w:tr>
                      <w:tr w:rsidR="008D0EE6" w:rsidRPr="00066FBE" w14:paraId="649CE3FF" w14:textId="77777777" w:rsidTr="0079549B">
                        <w:trPr>
                          <w:jc w:val="center"/>
                        </w:trPr>
                        <w:tc>
                          <w:tcPr>
                            <w:tcW w:w="3402" w:type="dxa"/>
                            <w:tcBorders>
                              <w:top w:val="single" w:sz="4" w:space="0" w:color="auto"/>
                            </w:tcBorders>
                          </w:tcPr>
                          <w:p w14:paraId="48B4C523" w14:textId="77777777" w:rsidR="008D0EE6" w:rsidRPr="004A2888" w:rsidRDefault="008D0EE6" w:rsidP="008D0EE6">
                            <w:pPr>
                              <w:pStyle w:val="Default"/>
                              <w:jc w:val="both"/>
                              <w:rPr>
                                <w:rFonts w:eastAsia="Times New Roman"/>
                                <w:sz w:val="20"/>
                                <w:szCs w:val="20"/>
                                <w:lang w:eastAsia="id-ID"/>
                              </w:rPr>
                            </w:pPr>
                            <w:r>
                              <w:rPr>
                                <w:rFonts w:eastAsia="Times New Roman"/>
                                <w:sz w:val="20"/>
                                <w:szCs w:val="20"/>
                                <w:lang w:eastAsia="id-ID"/>
                              </w:rPr>
                              <w:t>Reliability</w:t>
                            </w:r>
                            <w:r w:rsidRPr="004A2888">
                              <w:rPr>
                                <w:rFonts w:eastAsia="Times New Roman"/>
                                <w:sz w:val="20"/>
                                <w:szCs w:val="20"/>
                                <w:lang w:eastAsia="id-ID"/>
                              </w:rPr>
                              <w:t xml:space="preserve"> Item </w:t>
                            </w:r>
                          </w:p>
                        </w:tc>
                        <w:tc>
                          <w:tcPr>
                            <w:tcW w:w="1134" w:type="dxa"/>
                            <w:tcBorders>
                              <w:top w:val="single" w:sz="4" w:space="0" w:color="auto"/>
                            </w:tcBorders>
                          </w:tcPr>
                          <w:p w14:paraId="59FB9A0B" w14:textId="77777777" w:rsidR="008D0EE6" w:rsidRPr="004A2888" w:rsidRDefault="008D0EE6" w:rsidP="008D0EE6">
                            <w:pPr>
                              <w:rPr>
                                <w:lang w:val="en-US"/>
                              </w:rPr>
                            </w:pPr>
                            <w:r w:rsidRPr="004A2888">
                              <w:rPr>
                                <w:lang w:val="en-US"/>
                              </w:rPr>
                              <w:t xml:space="preserve">0,48 </w:t>
                            </w:r>
                          </w:p>
                        </w:tc>
                        <w:tc>
                          <w:tcPr>
                            <w:tcW w:w="2126" w:type="dxa"/>
                            <w:tcBorders>
                              <w:top w:val="single" w:sz="4" w:space="0" w:color="auto"/>
                            </w:tcBorders>
                          </w:tcPr>
                          <w:p w14:paraId="24517908" w14:textId="77777777" w:rsidR="008D0EE6" w:rsidRPr="004A2888" w:rsidRDefault="008D0EE6" w:rsidP="008D0EE6">
                            <w:pPr>
                              <w:rPr>
                                <w:lang w:val="en-US"/>
                              </w:rPr>
                            </w:pPr>
                            <w:r>
                              <w:t>Moderate</w:t>
                            </w:r>
                          </w:p>
                        </w:tc>
                      </w:tr>
                      <w:tr w:rsidR="008D0EE6" w:rsidRPr="00066FBE" w14:paraId="28289724" w14:textId="77777777" w:rsidTr="0079549B">
                        <w:trPr>
                          <w:jc w:val="center"/>
                        </w:trPr>
                        <w:tc>
                          <w:tcPr>
                            <w:tcW w:w="3402" w:type="dxa"/>
                          </w:tcPr>
                          <w:p w14:paraId="71E3A166" w14:textId="77777777" w:rsidR="008D0EE6" w:rsidRPr="004A2888" w:rsidRDefault="008D0EE6" w:rsidP="008D0EE6">
                            <w:pPr>
                              <w:pStyle w:val="Default"/>
                              <w:jc w:val="both"/>
                              <w:rPr>
                                <w:rFonts w:eastAsia="Times New Roman"/>
                                <w:sz w:val="20"/>
                                <w:szCs w:val="20"/>
                                <w:lang w:eastAsia="id-ID"/>
                              </w:rPr>
                            </w:pPr>
                            <w:r>
                              <w:rPr>
                                <w:rFonts w:eastAsia="Times New Roman"/>
                                <w:sz w:val="20"/>
                                <w:szCs w:val="20"/>
                                <w:lang w:eastAsia="id-ID"/>
                              </w:rPr>
                              <w:t>Reliability</w:t>
                            </w:r>
                            <w:r w:rsidRPr="004A2888">
                              <w:rPr>
                                <w:rFonts w:eastAsia="Times New Roman"/>
                                <w:sz w:val="20"/>
                                <w:szCs w:val="20"/>
                                <w:lang w:eastAsia="id-ID"/>
                              </w:rPr>
                              <w:t xml:space="preserve"> Person </w:t>
                            </w:r>
                          </w:p>
                        </w:tc>
                        <w:tc>
                          <w:tcPr>
                            <w:tcW w:w="1134" w:type="dxa"/>
                          </w:tcPr>
                          <w:p w14:paraId="44B3B83F" w14:textId="77777777" w:rsidR="008D0EE6" w:rsidRPr="004A2888" w:rsidRDefault="008D0EE6" w:rsidP="008D0EE6">
                            <w:pPr>
                              <w:rPr>
                                <w:lang w:val="en-US"/>
                              </w:rPr>
                            </w:pPr>
                            <w:r w:rsidRPr="004A2888">
                              <w:rPr>
                                <w:lang w:val="en-US"/>
                              </w:rPr>
                              <w:t xml:space="preserve">0,56 </w:t>
                            </w:r>
                          </w:p>
                        </w:tc>
                        <w:tc>
                          <w:tcPr>
                            <w:tcW w:w="2126" w:type="dxa"/>
                          </w:tcPr>
                          <w:p w14:paraId="3DB01BD5" w14:textId="77777777" w:rsidR="008D0EE6" w:rsidRPr="004A2888" w:rsidRDefault="008D0EE6" w:rsidP="008D0EE6">
                            <w:pPr>
                              <w:rPr>
                                <w:lang w:val="en-US"/>
                              </w:rPr>
                            </w:pPr>
                            <w:r>
                              <w:t>Moderate</w:t>
                            </w:r>
                          </w:p>
                        </w:tc>
                      </w:tr>
                      <w:tr w:rsidR="008D0EE6" w:rsidRPr="00066FBE" w14:paraId="2298A7CF" w14:textId="77777777" w:rsidTr="0079549B">
                        <w:trPr>
                          <w:jc w:val="center"/>
                        </w:trPr>
                        <w:tc>
                          <w:tcPr>
                            <w:tcW w:w="3402" w:type="dxa"/>
                            <w:tcBorders>
                              <w:bottom w:val="single" w:sz="4" w:space="0" w:color="auto"/>
                            </w:tcBorders>
                          </w:tcPr>
                          <w:p w14:paraId="383B14F9" w14:textId="77777777" w:rsidR="008D0EE6" w:rsidRPr="004A2888" w:rsidRDefault="008D0EE6" w:rsidP="008D0EE6">
                            <w:pPr>
                              <w:pStyle w:val="Default"/>
                              <w:jc w:val="both"/>
                              <w:rPr>
                                <w:rFonts w:eastAsia="Times New Roman"/>
                                <w:sz w:val="20"/>
                                <w:szCs w:val="20"/>
                                <w:lang w:eastAsia="id-ID"/>
                              </w:rPr>
                            </w:pPr>
                            <w:r w:rsidRPr="004A2888">
                              <w:rPr>
                                <w:rFonts w:eastAsia="Times New Roman"/>
                                <w:sz w:val="20"/>
                                <w:szCs w:val="20"/>
                                <w:lang w:eastAsia="id-ID"/>
                              </w:rPr>
                              <w:t xml:space="preserve">Cronbach Alpha </w:t>
                            </w:r>
                          </w:p>
                        </w:tc>
                        <w:tc>
                          <w:tcPr>
                            <w:tcW w:w="1134" w:type="dxa"/>
                            <w:tcBorders>
                              <w:bottom w:val="single" w:sz="4" w:space="0" w:color="auto"/>
                            </w:tcBorders>
                          </w:tcPr>
                          <w:p w14:paraId="4DA06694" w14:textId="77777777" w:rsidR="008D0EE6" w:rsidRPr="004A2888" w:rsidRDefault="008D0EE6" w:rsidP="008D0EE6">
                            <w:pPr>
                              <w:rPr>
                                <w:lang w:val="en-US"/>
                              </w:rPr>
                            </w:pPr>
                            <w:r w:rsidRPr="004A2888">
                              <w:rPr>
                                <w:lang w:val="en-US"/>
                              </w:rPr>
                              <w:t xml:space="preserve">0,69 </w:t>
                            </w:r>
                          </w:p>
                        </w:tc>
                        <w:tc>
                          <w:tcPr>
                            <w:tcW w:w="2126" w:type="dxa"/>
                            <w:tcBorders>
                              <w:bottom w:val="single" w:sz="4" w:space="0" w:color="auto"/>
                            </w:tcBorders>
                          </w:tcPr>
                          <w:p w14:paraId="1D8C189B" w14:textId="77777777" w:rsidR="008D0EE6" w:rsidRPr="004A2888" w:rsidRDefault="008D0EE6" w:rsidP="008D0EE6">
                            <w:pPr>
                              <w:rPr>
                                <w:lang w:val="en-US"/>
                              </w:rPr>
                            </w:pPr>
                            <w:r>
                              <w:t>Sufficient</w:t>
                            </w:r>
                            <w:r w:rsidRPr="004A2888">
                              <w:rPr>
                                <w:lang w:val="en-US"/>
                              </w:rPr>
                              <w:t xml:space="preserve"> </w:t>
                            </w:r>
                          </w:p>
                        </w:tc>
                      </w:tr>
                    </w:tbl>
                    <w:p w14:paraId="37245B59" w14:textId="77777777" w:rsidR="0051195A" w:rsidRDefault="0051195A" w:rsidP="0051195A">
                      <w:pPr>
                        <w:spacing w:line="258" w:lineRule="auto"/>
                        <w:ind w:left="0" w:hanging="2"/>
                        <w:textDirection w:val="btLr"/>
                      </w:pPr>
                    </w:p>
                    <w:p w14:paraId="08D145D8" w14:textId="77777777" w:rsidR="0051195A" w:rsidRDefault="0051195A" w:rsidP="0051195A">
                      <w:pPr>
                        <w:spacing w:line="258" w:lineRule="auto"/>
                        <w:ind w:left="0" w:hanging="2"/>
                        <w:textDirection w:val="btLr"/>
                      </w:pPr>
                    </w:p>
                  </w:txbxContent>
                </v:textbox>
                <w10:wrap type="square" anchorx="margin"/>
              </v:rect>
            </w:pict>
          </mc:Fallback>
        </mc:AlternateContent>
      </w:r>
      <w:r w:rsidR="0087327F" w:rsidRPr="0087327F">
        <w:rPr>
          <w:lang w:val="id-ID"/>
        </w:rPr>
        <w:t>The reliability value of the person (students) from the score obtained in the trial was 0.55. The value of 0.55 indicates that the reliability of the person or student is in the medium category. The item reliability value was 0.48 in the medium category. Overall the average value of reliability or Cronbach Alpha of 0.69 is in the sufficient category</w:t>
      </w:r>
      <w:r w:rsidR="0087327F" w:rsidRPr="0087327F">
        <w:rPr>
          <w:lang w:val="en-US"/>
        </w:rPr>
        <w:t xml:space="preserve"> </w:t>
      </w:r>
      <w:r w:rsidR="0087327F" w:rsidRPr="0087327F">
        <w:rPr>
          <w:lang w:val="en-US"/>
        </w:rPr>
        <w:fldChar w:fldCharType="begin" w:fldLock="1"/>
      </w:r>
      <w:r w:rsidR="0087327F" w:rsidRPr="0087327F">
        <w:rPr>
          <w:lang w:val="en-US"/>
        </w:rPr>
        <w:instrText>ADDIN CSL_CITATION {"citationItems":[{"id":"ITEM-1","itemData":{"DOI":"10.1007/BF02310555","ISSN":"1860-0980","abstract":"A general formula (α) of which a special case is the Kuder-Richardson coefficient of equivalence is shown to be the mean of all split-half coefficients resulting from different splittings of a test. α is therefore an estimate of the correlation between two random samples of items from a universe of items like those in the test. α is found to be an appropriate index of equivalence and, except for very short tests, of the first-factor concentration in the test. Tests divisible into distinct subtests should be so divided before using the formula. The index $$\\bar r_{ij} $$ , derived from α, is shown to be an index of inter-item homogeneity. Comparison is made to the Guttman and Loevinger approaches. Parallel split coefficients are shown to be unnecessary for tests of common types. In designing tests, maximum interpretability of scores is obtained by increasing the first-factor concentration in any separately-scored subtest and avoiding substantial group-factor clusters within a subtest. Scalability is not a requisite.","author":[{"dropping-particle":"","family":"Cronbach","given":"Lee J.","non-dropping-particle":"","parse-names":false,"suffix":""}],"container-title":"Psychometrika","id":"ITEM-1","issue":"3","issued":{"date-parts":[["1951","9"]]},"page":"297-334","publisher":"Springer","title":"Coefficient Alpha and the Internal Structure of Tests","type":"article-journal","volume":"16"},"uris":["http://www.mendeley.com/documents/?uuid=42429b45-f098-37f1-8a49-e2bbc80ea11b"]},{"id":"ITEM-2","itemData":{"DOI":"10.1037/0021-9010.78.1.98","author":[{"dropping-particle":"","family":"Cortina","given":"J. M","non-dropping-particle":"","parse-names":false,"suffix":""}],"container-title":"Journal of Applied Psychology","id":"ITEM-2","issue":"1","issued":{"date-parts":[["2013"]]},"page":"98-104","title":"What is Coefficient Alpha? An Examination of Theory and Applications","type":"article-journal","volume":"78"},"uris":["http://www.mendeley.com/documents/?uuid=42ab2ff3-91ab-4d87-b82b-d12bd290a90b"]}],"mendeley":{"formattedCitation":"[42], [43]","plainTextFormattedCitation":"[42], [43]","previouslyFormattedCitation":"[42], [43]"},"properties":{"noteIndex":0},"schema":"https://github.com/citation-style-language/schema/raw/master/csl-citation.json"}</w:instrText>
      </w:r>
      <w:r w:rsidR="0087327F" w:rsidRPr="0087327F">
        <w:rPr>
          <w:lang w:val="en-US"/>
        </w:rPr>
        <w:fldChar w:fldCharType="separate"/>
      </w:r>
      <w:r w:rsidR="0087327F" w:rsidRPr="0087327F">
        <w:rPr>
          <w:lang w:val="en-US"/>
        </w:rPr>
        <w:t>[42], [43]</w:t>
      </w:r>
      <w:r w:rsidR="0087327F" w:rsidRPr="0087327F">
        <w:rPr>
          <w:lang w:val="id-ID"/>
        </w:rPr>
        <w:fldChar w:fldCharType="end"/>
      </w:r>
      <w:r w:rsidR="0087327F" w:rsidRPr="0087327F">
        <w:rPr>
          <w:lang w:val="en-US"/>
        </w:rPr>
        <w:t xml:space="preserve">.  </w:t>
      </w:r>
      <w:r w:rsidR="0087327F" w:rsidRPr="0087327F">
        <w:rPr>
          <w:lang w:val="id-ID"/>
        </w:rPr>
        <w:t>The reliability value indicates the constancy, reliability, or consistency of the test and the appropriateness of the test when tested on students. So it can be concluded that the score obtained from the assessment instrument is reliable because they have fulfilled a minimum coefficient value of 0.6</w:t>
      </w:r>
      <w:r w:rsidR="0087327F" w:rsidRPr="0087327F">
        <w:rPr>
          <w:lang w:val="en-US"/>
        </w:rPr>
        <w:t xml:space="preserve"> </w:t>
      </w:r>
      <w:r w:rsidR="0087327F" w:rsidRPr="0087327F">
        <w:rPr>
          <w:lang w:val="en-US"/>
        </w:rPr>
        <w:fldChar w:fldCharType="begin" w:fldLock="1"/>
      </w:r>
      <w:r w:rsidR="0087327F" w:rsidRPr="0087327F">
        <w:rPr>
          <w:lang w:val="en-US"/>
        </w:rPr>
        <w:instrText>ADDIN CSL_CITATION {"citationItems":[{"id":"ITEM-1","itemData":{"author":[{"dropping-particle":"","family":"Sujarwanto","given":"","non-dropping-particle":"","parse-names":false,"suffix":""},{"dropping-particle":"","family":"Rusilowati","given":"A","non-dropping-particle":"","parse-names":false,"suffix":""}],"container-title":"Unnes Science Education Journal","id":"ITEM-1","issue":"1","issued":{"date-parts":[["2015"]]},"page":"780-787","title":"Pengembangan Instrumen PerformanceAssessment berpendekatan Scientific pada Tema Kalor dan Perpindahannya","type":"article-journal","volume":"4"},"uris":["http://www.mendeley.com/documents/?uuid=b35dceec-bb44-42b4-aa7d-bd136b9e4be7"]}],"mendeley":{"formattedCitation":"[44]","plainTextFormattedCitation":"[44]","previouslyFormattedCitation":"[44]"},"properties":{"noteIndex":0},"schema":"https://github.com/citation-style-language/schema/raw/master/csl-citation.json"}</w:instrText>
      </w:r>
      <w:r w:rsidR="0087327F" w:rsidRPr="0087327F">
        <w:rPr>
          <w:lang w:val="en-US"/>
        </w:rPr>
        <w:fldChar w:fldCharType="separate"/>
      </w:r>
      <w:r w:rsidR="0087327F" w:rsidRPr="0087327F">
        <w:rPr>
          <w:lang w:val="en-US"/>
        </w:rPr>
        <w:t>[44]</w:t>
      </w:r>
      <w:r w:rsidR="0087327F" w:rsidRPr="0087327F">
        <w:rPr>
          <w:lang w:val="id-ID"/>
        </w:rPr>
        <w:fldChar w:fldCharType="end"/>
      </w:r>
      <w:r w:rsidR="0087327F" w:rsidRPr="0087327F">
        <w:rPr>
          <w:lang w:val="en-US"/>
        </w:rPr>
        <w:t xml:space="preserve"> </w:t>
      </w:r>
      <w:r w:rsidR="0087327F" w:rsidRPr="0087327F">
        <w:rPr>
          <w:lang w:val="en-US"/>
        </w:rPr>
        <w:fldChar w:fldCharType="begin" w:fldLock="1"/>
      </w:r>
      <w:r w:rsidR="0087327F" w:rsidRPr="0087327F">
        <w:rPr>
          <w:lang w:val="en-US"/>
        </w:rPr>
        <w:instrText>ADDIN CSL_CITATION {"citationItems":[{"id":"ITEM-1","itemData":{"author":[{"dropping-particle":"","family":"Sujarwanto","given":"","non-dropping-particle":"","parse-names":false,"suffix":""},{"dropping-particle":"","family":"Rusilowati","given":"A","non-dropping-particle":"","parse-names":false,"suffix":""}],"container-title":"Unnes Science Education Journal","id":"ITEM-1","issue":"1","issued":{"date-parts":[["2015"]]},"page":"780-787","title":"Pengembangan Instrumen PerformanceAssessment berpendekatan Scientific pada Tema Kalor dan Perpindahannya","type":"article-journal","volume":"4"},"uris":["http://www.mendeley.com/documents/?uuid=b35dceec-bb44-42b4-aa7d-bd136b9e4be7"]}],"mendeley":{"formattedCitation":"[44]","plainTextFormattedCitation":"[44]"},"properties":{"noteIndex":0},"schema":"https://github.com/citation-style-language/schema/raw/master/csl-citation.json"}</w:instrText>
      </w:r>
      <w:r w:rsidR="0087327F" w:rsidRPr="0087327F">
        <w:rPr>
          <w:lang w:val="en-US"/>
        </w:rPr>
        <w:fldChar w:fldCharType="separate"/>
      </w:r>
      <w:r w:rsidR="0087327F" w:rsidRPr="0087327F">
        <w:rPr>
          <w:lang w:val="en-US"/>
        </w:rPr>
        <w:t>[44]</w:t>
      </w:r>
      <w:r w:rsidR="0087327F" w:rsidRPr="0087327F">
        <w:rPr>
          <w:lang w:val="id-ID"/>
        </w:rPr>
        <w:fldChar w:fldCharType="end"/>
      </w:r>
      <w:r w:rsidR="0087327F" w:rsidRPr="0087327F">
        <w:rPr>
          <w:lang w:val="en-US"/>
        </w:rPr>
        <w:t xml:space="preserve">. </w:t>
      </w:r>
      <w:r w:rsidR="0087327F" w:rsidRPr="0087327F">
        <w:rPr>
          <w:lang w:val="id-ID"/>
        </w:rPr>
        <w:t>Reliability values ​​and constancy categories are presented in Table 2</w:t>
      </w:r>
      <w:r w:rsidR="0087327F" w:rsidRPr="0087327F">
        <w:rPr>
          <w:lang w:val="en-US"/>
        </w:rPr>
        <w:t>.</w:t>
      </w:r>
    </w:p>
    <w:p w14:paraId="7A4A46AF" w14:textId="7F6293AC" w:rsidR="001669D0" w:rsidRDefault="001669D0">
      <w:pPr>
        <w:pBdr>
          <w:top w:val="nil"/>
          <w:left w:val="nil"/>
          <w:bottom w:val="nil"/>
          <w:right w:val="nil"/>
          <w:between w:val="nil"/>
        </w:pBdr>
        <w:spacing w:before="240" w:line="240" w:lineRule="auto"/>
        <w:ind w:left="0" w:hanging="2"/>
        <w:rPr>
          <w:lang w:val="en-US"/>
        </w:rPr>
      </w:pPr>
    </w:p>
    <w:p w14:paraId="0588D393" w14:textId="2691772C" w:rsidR="008D0EE6" w:rsidRDefault="008D0EE6" w:rsidP="008D0EE6">
      <w:pPr>
        <w:pBdr>
          <w:top w:val="nil"/>
          <w:left w:val="nil"/>
          <w:bottom w:val="nil"/>
          <w:right w:val="nil"/>
          <w:between w:val="nil"/>
        </w:pBdr>
        <w:spacing w:before="240" w:line="240" w:lineRule="auto"/>
        <w:ind w:left="0" w:hanging="2"/>
        <w:rPr>
          <w:i/>
          <w:iCs/>
          <w:lang w:val="id-ID"/>
        </w:rPr>
      </w:pPr>
      <w:r>
        <w:rPr>
          <w:i/>
        </w:rPr>
        <w:lastRenderedPageBreak/>
        <w:t>3</w:t>
      </w:r>
      <w:r w:rsidRPr="00B75FCE">
        <w:rPr>
          <w:i/>
        </w:rPr>
        <w:t>.</w:t>
      </w:r>
      <w:r>
        <w:rPr>
          <w:i/>
        </w:rPr>
        <w:t>2</w:t>
      </w:r>
      <w:r w:rsidRPr="00B75FCE">
        <w:rPr>
          <w:i/>
        </w:rPr>
        <w:t>.</w:t>
      </w:r>
      <w:r w:rsidR="007312B3">
        <w:rPr>
          <w:i/>
        </w:rPr>
        <w:t>4</w:t>
      </w:r>
      <w:r w:rsidRPr="00B75FCE">
        <w:rPr>
          <w:i/>
        </w:rPr>
        <w:t xml:space="preserve">. </w:t>
      </w:r>
      <w:r w:rsidR="0059578C" w:rsidRPr="0059578C">
        <w:rPr>
          <w:i/>
          <w:iCs/>
          <w:lang w:val="id-ID"/>
        </w:rPr>
        <w:t>Bias on Items</w:t>
      </w:r>
      <w:r w:rsidR="0059578C" w:rsidRPr="0059578C">
        <w:rPr>
          <w:i/>
          <w:lang w:val="en-US"/>
        </w:rPr>
        <w:t xml:space="preserve"> </w:t>
      </w:r>
      <w:r w:rsidR="0059578C" w:rsidRPr="0059578C">
        <w:rPr>
          <w:i/>
          <w:lang w:val="id-ID"/>
        </w:rPr>
        <w:t>(Differential Item Function/DIF)</w:t>
      </w:r>
      <w:r w:rsidRPr="00460183">
        <w:rPr>
          <w:i/>
          <w:iCs/>
          <w:lang w:val="id-ID"/>
        </w:rPr>
        <w:t xml:space="preserve"> </w:t>
      </w:r>
    </w:p>
    <w:p w14:paraId="7096D479" w14:textId="4BEF50BF" w:rsidR="0051195A" w:rsidRDefault="003A618F">
      <w:pPr>
        <w:pBdr>
          <w:top w:val="nil"/>
          <w:left w:val="nil"/>
          <w:bottom w:val="nil"/>
          <w:right w:val="nil"/>
          <w:between w:val="nil"/>
        </w:pBdr>
        <w:spacing w:before="240" w:line="240" w:lineRule="auto"/>
        <w:ind w:left="0" w:hanging="2"/>
        <w:rPr>
          <w:lang w:val="en-US"/>
        </w:rPr>
      </w:pPr>
      <w:r w:rsidRPr="003A618F">
        <w:rPr>
          <w:lang w:val="id-ID"/>
        </w:rPr>
        <w:t>DIF is one of the results of the analysis to find out whether the items or items have a bias or tendency towards certain categories of respondents or not, for example, a tendency towards men or women</w:t>
      </w:r>
      <w:r w:rsidRPr="003A618F">
        <w:rPr>
          <w:lang w:val="en-US"/>
        </w:rPr>
        <w:t xml:space="preserve"> </w:t>
      </w:r>
      <w:r w:rsidRPr="003A618F">
        <w:rPr>
          <w:lang w:val="en-US"/>
        </w:rPr>
        <w:fldChar w:fldCharType="begin" w:fldLock="1"/>
      </w:r>
      <w:r w:rsidRPr="003A618F">
        <w:rPr>
          <w:lang w:val="en-US"/>
        </w:rPr>
        <w:instrText>ADDIN CSL_CITATION {"citationItems":[{"id":"ITEM-1","itemData":{"author":[{"dropping-particle":"","family":"Sumintono","given":"B","non-dropping-particle":"","parse-names":false,"suffix":""},{"dropping-particle":"","family":"Widhiarso","given":"W.","non-dropping-particle":"","parse-names":false,"suffix":""}],"id":"ITEM-1","issued":{"date-parts":[["2014"]]},"publisher":"Trim Komunikata Publishing House","publisher-place":"Cimahi","title":"Aplikasi model rasch untuk penelitian ilmu-ilmu soasial","type":"book"},"uris":["http://www.mendeley.com/documents/?uuid=75da4bb8-396f-45fe-98b3-fea887dcce56"]}],"mendeley":{"formattedCitation":"[40]","plainTextFormattedCitation":"[40]","previouslyFormattedCitation":"[40]"},"properties":{"noteIndex":0},"schema":"https://github.com/citation-style-language/schema/raw/master/csl-citation.json"}</w:instrText>
      </w:r>
      <w:r w:rsidRPr="003A618F">
        <w:rPr>
          <w:lang w:val="en-US"/>
        </w:rPr>
        <w:fldChar w:fldCharType="separate"/>
      </w:r>
      <w:r w:rsidRPr="003A618F">
        <w:rPr>
          <w:lang w:val="en-US"/>
        </w:rPr>
        <w:t>[40]</w:t>
      </w:r>
      <w:r w:rsidRPr="003A618F">
        <w:rPr>
          <w:lang w:val="en-US"/>
        </w:rPr>
        <w:fldChar w:fldCharType="end"/>
      </w:r>
      <w:r w:rsidRPr="003A618F">
        <w:rPr>
          <w:lang w:val="en-US"/>
        </w:rPr>
        <w:t xml:space="preserve">. </w:t>
      </w:r>
      <w:r w:rsidRPr="003A618F">
        <w:rPr>
          <w:lang w:val="id-ID"/>
        </w:rPr>
        <w:t>How to find out can be seen from the probability value of the items. Items are biased if the probability value is less than 5% or 0.05</w:t>
      </w:r>
      <w:r w:rsidRPr="003A618F">
        <w:rPr>
          <w:lang w:val="en-US"/>
        </w:rPr>
        <w:t xml:space="preserve"> </w:t>
      </w:r>
      <w:r w:rsidRPr="003A618F">
        <w:rPr>
          <w:lang w:val="en-US"/>
        </w:rPr>
        <w:fldChar w:fldCharType="begin" w:fldLock="1"/>
      </w:r>
      <w:r w:rsidRPr="003A618F">
        <w:rPr>
          <w:lang w:val="en-US"/>
        </w:rPr>
        <w:instrText>ADDIN CSL_CITATION {"citationItems":[{"id":"ITEM-1","itemData":{"DOI":"10.1177/0146621617726789","author":[{"dropping-particle":"","family":"Rome","given":"Logan","non-dropping-particle":"","parse-names":false,"suffix":""},{"dropping-particle":"","family":"Zhang","given":"Bo","non-dropping-particle":"","parse-names":false,"suffix":""}],"container-title":"Applied Psycological Measurement","id":"ITEM-1","issue":"4","issued":{"date-parts":[["2018"]]},"page":"259-274","title":"Investigating the Effects of Differential Item Functioning on Proficiency Classification","type":"article-journal","volume":"42"},"uris":["http://www.mendeley.com/documents/?uuid=491d15db-c6f5-4b16-9ad6-208cc4d7745e"]}],"mendeley":{"formattedCitation":"[45]","plainTextFormattedCitation":"[45]","previouslyFormattedCitation":"[45]"},"properties":{"noteIndex":0},"schema":"https://github.com/citation-style-language/schema/raw/master/csl-citation.json"}</w:instrText>
      </w:r>
      <w:r w:rsidRPr="003A618F">
        <w:rPr>
          <w:lang w:val="en-US"/>
        </w:rPr>
        <w:fldChar w:fldCharType="separate"/>
      </w:r>
      <w:r w:rsidRPr="003A618F">
        <w:rPr>
          <w:lang w:val="en-US"/>
        </w:rPr>
        <w:t>[45]</w:t>
      </w:r>
      <w:r w:rsidRPr="003A618F">
        <w:rPr>
          <w:lang w:val="en-US"/>
        </w:rPr>
        <w:fldChar w:fldCharType="end"/>
      </w:r>
      <w:r w:rsidRPr="003A618F">
        <w:rPr>
          <w:lang w:val="en-US"/>
        </w:rPr>
        <w:t>.</w:t>
      </w:r>
    </w:p>
    <w:p w14:paraId="24BA0F75" w14:textId="35A88794" w:rsidR="003A618F" w:rsidRDefault="00C87872" w:rsidP="00C87872">
      <w:pPr>
        <w:pBdr>
          <w:top w:val="nil"/>
          <w:left w:val="nil"/>
          <w:bottom w:val="nil"/>
          <w:right w:val="nil"/>
          <w:between w:val="nil"/>
        </w:pBdr>
        <w:spacing w:before="240" w:line="240" w:lineRule="auto"/>
        <w:ind w:left="0" w:hanging="2"/>
        <w:jc w:val="center"/>
        <w:rPr>
          <w:lang w:val="en-US"/>
        </w:rPr>
      </w:pPr>
      <w:r>
        <w:rPr>
          <w:noProof/>
          <w:lang w:val="en-US"/>
        </w:rPr>
        <w:drawing>
          <wp:inline distT="0" distB="0" distL="0" distR="0" wp14:anchorId="38906CB3" wp14:editId="5E7E7DAF">
            <wp:extent cx="4578350" cy="22193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8350" cy="2219325"/>
                    </a:xfrm>
                    <a:prstGeom prst="rect">
                      <a:avLst/>
                    </a:prstGeom>
                    <a:noFill/>
                  </pic:spPr>
                </pic:pic>
              </a:graphicData>
            </a:graphic>
          </wp:inline>
        </w:drawing>
      </w:r>
    </w:p>
    <w:p w14:paraId="6348CC24" w14:textId="480DE5F4" w:rsidR="00C87872" w:rsidRDefault="00C87872" w:rsidP="00C87872">
      <w:pPr>
        <w:pBdr>
          <w:top w:val="nil"/>
          <w:left w:val="nil"/>
          <w:bottom w:val="nil"/>
          <w:right w:val="nil"/>
          <w:between w:val="nil"/>
        </w:pBdr>
        <w:spacing w:before="160"/>
        <w:ind w:left="0" w:firstLine="0"/>
        <w:rPr>
          <w:lang w:val="id-ID"/>
        </w:rPr>
      </w:pPr>
      <w:r>
        <w:rPr>
          <w:b/>
        </w:rPr>
        <w:t xml:space="preserve">Figure </w:t>
      </w:r>
      <w:r>
        <w:rPr>
          <w:b/>
        </w:rPr>
        <w:t>3</w:t>
      </w:r>
      <w:r>
        <w:rPr>
          <w:b/>
        </w:rPr>
        <w:t xml:space="preserve"> </w:t>
      </w:r>
      <w:r w:rsidR="00E23BB9" w:rsidRPr="00E23BB9">
        <w:rPr>
          <w:bCs/>
          <w:lang w:val="id-ID"/>
        </w:rPr>
        <w:t>Diagram of the results of the analysis of bias in the instrument towards</w:t>
      </w:r>
    </w:p>
    <w:p w14:paraId="6F0A1FCF" w14:textId="2397E105" w:rsidR="00C87872" w:rsidRDefault="00E54431" w:rsidP="00C87872">
      <w:pPr>
        <w:pBdr>
          <w:top w:val="nil"/>
          <w:left w:val="nil"/>
          <w:bottom w:val="nil"/>
          <w:right w:val="nil"/>
          <w:between w:val="nil"/>
        </w:pBdr>
        <w:spacing w:before="240" w:line="240" w:lineRule="auto"/>
        <w:ind w:left="0" w:hanging="2"/>
        <w:rPr>
          <w:i/>
          <w:iCs/>
          <w:lang w:val="id-ID"/>
        </w:rPr>
      </w:pPr>
      <w:r>
        <w:rPr>
          <w:i/>
        </w:rPr>
        <w:t>3</w:t>
      </w:r>
      <w:r w:rsidRPr="00B75FCE">
        <w:rPr>
          <w:i/>
        </w:rPr>
        <w:t>.</w:t>
      </w:r>
      <w:r>
        <w:rPr>
          <w:i/>
        </w:rPr>
        <w:t>2</w:t>
      </w:r>
      <w:r w:rsidRPr="00B75FCE">
        <w:rPr>
          <w:i/>
        </w:rPr>
        <w:t>.</w:t>
      </w:r>
      <w:r>
        <w:rPr>
          <w:i/>
        </w:rPr>
        <w:t>5</w:t>
      </w:r>
      <w:r w:rsidRPr="00B75FCE">
        <w:rPr>
          <w:i/>
        </w:rPr>
        <w:t xml:space="preserve">. </w:t>
      </w:r>
      <w:r w:rsidR="00C365FC" w:rsidRPr="00C365FC">
        <w:rPr>
          <w:i/>
          <w:lang w:val="en-US"/>
        </w:rPr>
        <w:t>Difficulty Level of Item</w:t>
      </w:r>
      <w:r w:rsidR="00C365FC" w:rsidRPr="00C365FC">
        <w:rPr>
          <w:i/>
          <w:iCs/>
          <w:lang w:val="id-ID"/>
        </w:rPr>
        <w:t xml:space="preserve"> </w:t>
      </w:r>
    </w:p>
    <w:p w14:paraId="611BB6E6" w14:textId="68D4B40B" w:rsidR="00C365FC" w:rsidRDefault="00FE4BE4" w:rsidP="00C87872">
      <w:pPr>
        <w:pBdr>
          <w:top w:val="nil"/>
          <w:left w:val="nil"/>
          <w:bottom w:val="nil"/>
          <w:right w:val="nil"/>
          <w:between w:val="nil"/>
        </w:pBdr>
        <w:spacing w:before="240" w:line="240" w:lineRule="auto"/>
        <w:ind w:left="0" w:hanging="2"/>
        <w:rPr>
          <w:lang w:val="en-US"/>
        </w:rPr>
      </w:pPr>
      <w:r w:rsidRPr="00FE4BE4">
        <w:rPr>
          <w:lang w:val="id-ID"/>
        </w:rPr>
        <w:t xml:space="preserve">Each item has a level of difficulty based on the response of students' abilities as indicated by the </w:t>
      </w:r>
      <w:r w:rsidRPr="00FE4BE4">
        <w:rPr>
          <w:i/>
          <w:iCs/>
          <w:lang w:val="id-ID"/>
        </w:rPr>
        <w:t xml:space="preserve">logit </w:t>
      </w:r>
      <w:r w:rsidRPr="00FE4BE4">
        <w:rPr>
          <w:lang w:val="id-ID"/>
        </w:rPr>
        <w:t xml:space="preserve">in the Rasch model. The difficulty level of the item items is generated in the </w:t>
      </w:r>
      <w:r w:rsidRPr="00FE4BE4">
        <w:rPr>
          <w:i/>
          <w:iCs/>
          <w:lang w:val="id-ID"/>
        </w:rPr>
        <w:t>output tables 13 items: measure</w:t>
      </w:r>
      <w:r w:rsidRPr="00FE4BE4">
        <w:rPr>
          <w:lang w:val="id-ID"/>
        </w:rPr>
        <w:t xml:space="preserve">. The error rate can also be seen at once. scale </w:t>
      </w:r>
      <w:r w:rsidRPr="00FE4BE4">
        <w:rPr>
          <w:i/>
          <w:iCs/>
          <w:lang w:val="id-ID"/>
        </w:rPr>
        <w:t xml:space="preserve">logit </w:t>
      </w:r>
      <w:r w:rsidRPr="00FE4BE4">
        <w:rPr>
          <w:lang w:val="id-ID"/>
        </w:rPr>
        <w:t xml:space="preserve">divides the level or difficulty group of the items and the respondents (students). Information about the level of difficulty of the </w:t>
      </w:r>
      <w:r w:rsidRPr="00FE4BE4">
        <w:rPr>
          <w:i/>
          <w:iCs/>
          <w:lang w:val="id-ID"/>
        </w:rPr>
        <w:t xml:space="preserve">item </w:t>
      </w:r>
      <w:r w:rsidRPr="00FE4BE4">
        <w:rPr>
          <w:lang w:val="id-ID"/>
        </w:rPr>
        <w:t xml:space="preserve">and the ability or ability of students to answer better if the </w:t>
      </w:r>
      <w:r w:rsidRPr="00FE4BE4">
        <w:rPr>
          <w:i/>
          <w:iCs/>
          <w:lang w:val="id-ID"/>
        </w:rPr>
        <w:t xml:space="preserve">logit </w:t>
      </w:r>
      <w:r w:rsidRPr="00FE4BE4">
        <w:rPr>
          <w:lang w:val="id-ID"/>
        </w:rPr>
        <w:t xml:space="preserve">is getting bigger. </w:t>
      </w:r>
      <w:r w:rsidRPr="00FE4BE4">
        <w:rPr>
          <w:i/>
          <w:iCs/>
          <w:lang w:val="id-ID"/>
        </w:rPr>
        <w:t xml:space="preserve">a </w:t>
      </w:r>
      <w:r w:rsidRPr="00FE4BE4">
        <w:rPr>
          <w:lang w:val="id-ID"/>
        </w:rPr>
        <w:t xml:space="preserve">good item is an </w:t>
      </w:r>
      <w:r w:rsidRPr="00FE4BE4">
        <w:rPr>
          <w:i/>
          <w:iCs/>
          <w:lang w:val="id-ID"/>
        </w:rPr>
        <w:t xml:space="preserve">item </w:t>
      </w:r>
      <w:r w:rsidRPr="00FE4BE4">
        <w:rPr>
          <w:lang w:val="id-ID"/>
        </w:rPr>
        <w:t xml:space="preserve">with a smaller error rate. As well as good items are items that can be used to measure as well as differentiate the abilities of each student. Whether the item is good or not can be seen from the value of the </w:t>
      </w:r>
      <w:r w:rsidRPr="00FE4BE4">
        <w:rPr>
          <w:i/>
          <w:iCs/>
          <w:lang w:val="id-ID"/>
        </w:rPr>
        <w:t xml:space="preserve">standard error </w:t>
      </w:r>
      <w:r w:rsidRPr="00FE4BE4">
        <w:rPr>
          <w:lang w:val="id-ID"/>
        </w:rPr>
        <w:t>(</w:t>
      </w:r>
      <w:r w:rsidRPr="00FE4BE4">
        <w:rPr>
          <w:i/>
          <w:iCs/>
          <w:lang w:val="id-ID"/>
        </w:rPr>
        <w:t>SE</w:t>
      </w:r>
      <w:r w:rsidRPr="00FE4BE4">
        <w:rPr>
          <w:lang w:val="id-ID"/>
        </w:rPr>
        <w:t xml:space="preserve">). Items are said to be good or ideal if </w:t>
      </w:r>
      <w:r w:rsidRPr="00FE4BE4">
        <w:rPr>
          <w:i/>
          <w:iCs/>
          <w:lang w:val="id-ID"/>
        </w:rPr>
        <w:t>SE &lt;</w:t>
      </w:r>
      <w:r w:rsidRPr="00FE4BE4">
        <w:rPr>
          <w:lang w:val="id-ID"/>
        </w:rPr>
        <w:t>0.5-1.00</w:t>
      </w:r>
      <w:r w:rsidRPr="00FE4BE4">
        <w:rPr>
          <w:lang w:val="en-US"/>
        </w:rPr>
        <w:t>.</w:t>
      </w:r>
    </w:p>
    <w:p w14:paraId="6BC6F1D2" w14:textId="4A37F1DC" w:rsidR="00EB79CA" w:rsidRDefault="00EB79CA" w:rsidP="00EB79CA">
      <w:pPr>
        <w:pBdr>
          <w:top w:val="nil"/>
          <w:left w:val="nil"/>
          <w:bottom w:val="nil"/>
          <w:right w:val="nil"/>
          <w:between w:val="nil"/>
        </w:pBdr>
        <w:spacing w:before="240" w:line="240" w:lineRule="auto"/>
        <w:ind w:left="0" w:hanging="2"/>
        <w:jc w:val="center"/>
        <w:rPr>
          <w:lang w:val="en-US"/>
        </w:rPr>
      </w:pPr>
      <w:r w:rsidRPr="00973FAC">
        <w:rPr>
          <w:noProof/>
        </w:rPr>
        <w:drawing>
          <wp:inline distT="0" distB="0" distL="0" distR="0" wp14:anchorId="5F466667" wp14:editId="2AD36352">
            <wp:extent cx="5455920" cy="2651760"/>
            <wp:effectExtent l="0" t="0" r="17780" b="1524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EE7225" w14:textId="556899C2" w:rsidR="000079B6" w:rsidRDefault="000079B6" w:rsidP="000079B6">
      <w:pPr>
        <w:pBdr>
          <w:top w:val="nil"/>
          <w:left w:val="nil"/>
          <w:bottom w:val="nil"/>
          <w:right w:val="nil"/>
          <w:between w:val="nil"/>
        </w:pBdr>
        <w:spacing w:before="160"/>
        <w:ind w:left="0" w:firstLine="0"/>
        <w:rPr>
          <w:lang w:val="id-ID"/>
        </w:rPr>
      </w:pPr>
      <w:r>
        <w:rPr>
          <w:b/>
        </w:rPr>
        <w:t xml:space="preserve">Figure </w:t>
      </w:r>
      <w:r>
        <w:rPr>
          <w:b/>
        </w:rPr>
        <w:t>4</w:t>
      </w:r>
      <w:r>
        <w:rPr>
          <w:b/>
        </w:rPr>
        <w:t xml:space="preserve"> </w:t>
      </w:r>
      <w:r w:rsidR="00060540" w:rsidRPr="00060540">
        <w:rPr>
          <w:bCs/>
          <w:lang w:val="id-ID"/>
        </w:rPr>
        <w:t>Diagram of Difficulty Level of Items</w:t>
      </w:r>
      <w:r w:rsidR="00060540" w:rsidRPr="00060540">
        <w:rPr>
          <w:bCs/>
          <w:lang w:val="id-ID"/>
        </w:rPr>
        <w:t xml:space="preserve"> </w:t>
      </w:r>
    </w:p>
    <w:p w14:paraId="485A277E" w14:textId="7C1CCFA9" w:rsidR="00EB79CA" w:rsidRDefault="00F62D84" w:rsidP="00EB79CA">
      <w:pPr>
        <w:pBdr>
          <w:top w:val="nil"/>
          <w:left w:val="nil"/>
          <w:bottom w:val="nil"/>
          <w:right w:val="nil"/>
          <w:between w:val="nil"/>
        </w:pBdr>
        <w:spacing w:before="240" w:line="240" w:lineRule="auto"/>
        <w:ind w:left="0" w:hanging="2"/>
        <w:rPr>
          <w:lang w:val="en-US"/>
        </w:rPr>
      </w:pPr>
      <w:r>
        <w:rPr>
          <w:noProof/>
        </w:rPr>
        <w:lastRenderedPageBreak/>
        <mc:AlternateContent>
          <mc:Choice Requires="wps">
            <w:drawing>
              <wp:anchor distT="45720" distB="45720" distL="114300" distR="114300" simplePos="0" relativeHeight="251663360" behindDoc="0" locked="0" layoutInCell="1" hidden="0" allowOverlap="1" wp14:anchorId="78E58A2B" wp14:editId="68808CD8">
                <wp:simplePos x="0" y="0"/>
                <wp:positionH relativeFrom="margin">
                  <wp:align>left</wp:align>
                </wp:positionH>
                <wp:positionV relativeFrom="paragraph">
                  <wp:posOffset>1127263</wp:posOffset>
                </wp:positionV>
                <wp:extent cx="5657850" cy="1446530"/>
                <wp:effectExtent l="0" t="0" r="0" b="1270"/>
                <wp:wrapSquare wrapText="bothSides" distT="45720" distB="45720" distL="114300" distR="114300"/>
                <wp:docPr id="26" name="Rectangle 26"/>
                <wp:cNvGraphicFramePr/>
                <a:graphic xmlns:a="http://schemas.openxmlformats.org/drawingml/2006/main">
                  <a:graphicData uri="http://schemas.microsoft.com/office/word/2010/wordprocessingShape">
                    <wps:wsp>
                      <wps:cNvSpPr/>
                      <wps:spPr>
                        <a:xfrm>
                          <a:off x="0" y="0"/>
                          <a:ext cx="5657850" cy="1447138"/>
                        </a:xfrm>
                        <a:prstGeom prst="rect">
                          <a:avLst/>
                        </a:prstGeom>
                        <a:solidFill>
                          <a:srgbClr val="FFFFFF"/>
                        </a:solidFill>
                        <a:ln w="9525" cap="flat" cmpd="sng">
                          <a:noFill/>
                          <a:prstDash val="solid"/>
                          <a:miter lim="800000"/>
                          <a:headEnd type="none" w="sm" len="sm"/>
                          <a:tailEnd type="none" w="sm" len="sm"/>
                        </a:ln>
                      </wps:spPr>
                      <wps:txbx>
                        <w:txbxContent>
                          <w:p w14:paraId="79CE6E7B" w14:textId="031F77AA" w:rsidR="00483313" w:rsidRDefault="00483313" w:rsidP="00483313">
                            <w:pPr>
                              <w:spacing w:after="120" w:line="258" w:lineRule="auto"/>
                              <w:ind w:left="0" w:hanging="2"/>
                              <w:textDirection w:val="btLr"/>
                            </w:pPr>
                            <w:r>
                              <w:rPr>
                                <w:b/>
                              </w:rPr>
                              <w:t xml:space="preserve">Table </w:t>
                            </w:r>
                            <w:r>
                              <w:rPr>
                                <w:b/>
                              </w:rPr>
                              <w:t>3</w:t>
                            </w:r>
                            <w:r>
                              <w:rPr>
                                <w:b/>
                              </w:rPr>
                              <w:t>.</w:t>
                            </w:r>
                            <w:r>
                              <w:t xml:space="preserve"> </w:t>
                            </w:r>
                            <w:r w:rsidR="00B13115" w:rsidRPr="00B13115">
                              <w:rPr>
                                <w:lang w:val="id-ID"/>
                              </w:rPr>
                              <w:t>Categories of Tryout</w:t>
                            </w:r>
                          </w:p>
                          <w:tbl>
                            <w:tblPr>
                              <w:tblW w:w="0" w:type="auto"/>
                              <w:jc w:val="center"/>
                              <w:tblBorders>
                                <w:top w:val="single" w:sz="4" w:space="0" w:color="auto"/>
                                <w:bottom w:val="single" w:sz="4" w:space="0" w:color="auto"/>
                              </w:tblBorders>
                              <w:tblLook w:val="04A0" w:firstRow="1" w:lastRow="0" w:firstColumn="1" w:lastColumn="0" w:noHBand="0" w:noVBand="1"/>
                            </w:tblPr>
                            <w:tblGrid>
                              <w:gridCol w:w="4286"/>
                              <w:gridCol w:w="3119"/>
                            </w:tblGrid>
                            <w:tr w:rsidR="00F62D84" w:rsidRPr="00066FBE" w14:paraId="476C73F2" w14:textId="77777777" w:rsidTr="0079549B">
                              <w:trPr>
                                <w:jc w:val="center"/>
                              </w:trPr>
                              <w:tc>
                                <w:tcPr>
                                  <w:tcW w:w="4286" w:type="dxa"/>
                                  <w:tcBorders>
                                    <w:top w:val="single" w:sz="4" w:space="0" w:color="auto"/>
                                    <w:bottom w:val="single" w:sz="4" w:space="0" w:color="auto"/>
                                  </w:tcBorders>
                                  <w:vAlign w:val="center"/>
                                </w:tcPr>
                                <w:p w14:paraId="5B5D4DEF" w14:textId="77777777" w:rsidR="00F62D84" w:rsidRPr="004201A1" w:rsidRDefault="00F62D84" w:rsidP="00F62D84">
                                  <w:pPr>
                                    <w:spacing w:line="276" w:lineRule="auto"/>
                                  </w:pPr>
                                  <w:r>
                                    <w:t>Items Number of Questions</w:t>
                                  </w:r>
                                </w:p>
                              </w:tc>
                              <w:tc>
                                <w:tcPr>
                                  <w:tcW w:w="3119" w:type="dxa"/>
                                  <w:tcBorders>
                                    <w:top w:val="single" w:sz="4" w:space="0" w:color="auto"/>
                                    <w:bottom w:val="single" w:sz="4" w:space="0" w:color="auto"/>
                                  </w:tcBorders>
                                  <w:vAlign w:val="center"/>
                                </w:tcPr>
                                <w:p w14:paraId="2583AC0F" w14:textId="77777777" w:rsidR="00F62D84" w:rsidRPr="004201A1" w:rsidRDefault="00F62D84" w:rsidP="00F62D84">
                                  <w:pPr>
                                    <w:spacing w:line="276" w:lineRule="auto"/>
                                    <w:ind w:left="885"/>
                                  </w:pPr>
                                  <w:r>
                                    <w:t>Category Difficulty of Question Items</w:t>
                                  </w:r>
                                </w:p>
                              </w:tc>
                            </w:tr>
                            <w:tr w:rsidR="00F62D84" w:rsidRPr="00066FBE" w14:paraId="58448BD0" w14:textId="77777777" w:rsidTr="0079549B">
                              <w:trPr>
                                <w:jc w:val="center"/>
                              </w:trPr>
                              <w:tc>
                                <w:tcPr>
                                  <w:tcW w:w="4286" w:type="dxa"/>
                                  <w:tcBorders>
                                    <w:top w:val="single" w:sz="4" w:space="0" w:color="auto"/>
                                  </w:tcBorders>
                                  <w:vAlign w:val="center"/>
                                </w:tcPr>
                                <w:p w14:paraId="26A8E31B" w14:textId="50D5D2E1" w:rsidR="00F62D84" w:rsidRPr="00744117" w:rsidRDefault="00F62D84" w:rsidP="004552CC">
                                  <w:pPr>
                                    <w:spacing w:line="276" w:lineRule="auto"/>
                                    <w:ind w:hanging="453"/>
                                  </w:pPr>
                                  <w:r w:rsidRPr="00744117">
                                    <w:t xml:space="preserve"> </w:t>
                                  </w:r>
                                  <w:r w:rsidR="004552CC">
                                    <w:t xml:space="preserve"> </w:t>
                                  </w:r>
                                  <w:r w:rsidRPr="00744117">
                                    <w:t>S5 S7 S6 S3 S1</w:t>
                                  </w:r>
                                </w:p>
                              </w:tc>
                              <w:tc>
                                <w:tcPr>
                                  <w:tcW w:w="3119" w:type="dxa"/>
                                  <w:tcBorders>
                                    <w:top w:val="single" w:sz="4" w:space="0" w:color="auto"/>
                                  </w:tcBorders>
                                  <w:vAlign w:val="center"/>
                                </w:tcPr>
                                <w:p w14:paraId="381D54A2" w14:textId="77777777" w:rsidR="00F62D84" w:rsidRPr="00744117" w:rsidRDefault="00F62D84" w:rsidP="00F62D84">
                                  <w:pPr>
                                    <w:spacing w:line="276" w:lineRule="auto"/>
                                    <w:ind w:left="885"/>
                                    <w:rPr>
                                      <w:lang w:val="en-US"/>
                                    </w:rPr>
                                  </w:pPr>
                                  <w:r w:rsidRPr="00744117">
                                    <w:rPr>
                                      <w:lang w:val="en-US"/>
                                    </w:rPr>
                                    <w:t>Difficult</w:t>
                                  </w:r>
                                </w:p>
                              </w:tc>
                            </w:tr>
                            <w:tr w:rsidR="00F62D84" w:rsidRPr="00066FBE" w14:paraId="7319B7BC" w14:textId="77777777" w:rsidTr="0079549B">
                              <w:trPr>
                                <w:jc w:val="center"/>
                              </w:trPr>
                              <w:tc>
                                <w:tcPr>
                                  <w:tcW w:w="4286" w:type="dxa"/>
                                  <w:vAlign w:val="center"/>
                                </w:tcPr>
                                <w:p w14:paraId="58B496E8" w14:textId="2DC3EA3B" w:rsidR="00F62D84" w:rsidRPr="00744117" w:rsidRDefault="00F62D84" w:rsidP="004552CC">
                                  <w:pPr>
                                    <w:spacing w:line="276" w:lineRule="auto"/>
                                    <w:ind w:left="0" w:firstLine="0"/>
                                  </w:pPr>
                                  <w:r w:rsidRPr="00744117">
                                    <w:t>S2 S4 S8 S15 S19 S9 S12 S14 S23 S11 S16 S18</w:t>
                                  </w:r>
                                  <w:r w:rsidR="004552CC">
                                    <w:t xml:space="preserve"> </w:t>
                                  </w:r>
                                  <w:r w:rsidRPr="00744117">
                                    <w:t>S25</w:t>
                                  </w:r>
                                </w:p>
                              </w:tc>
                              <w:tc>
                                <w:tcPr>
                                  <w:tcW w:w="3119" w:type="dxa"/>
                                  <w:vAlign w:val="center"/>
                                </w:tcPr>
                                <w:p w14:paraId="230E3526" w14:textId="77777777" w:rsidR="00F62D84" w:rsidRPr="00744117" w:rsidRDefault="00F62D84" w:rsidP="00F62D84">
                                  <w:pPr>
                                    <w:spacing w:line="276" w:lineRule="auto"/>
                                    <w:ind w:left="885"/>
                                  </w:pPr>
                                  <w:r w:rsidRPr="00744117">
                                    <w:t>Moderate</w:t>
                                  </w:r>
                                </w:p>
                              </w:tc>
                            </w:tr>
                            <w:tr w:rsidR="00F62D84" w:rsidRPr="00066FBE" w14:paraId="0D659A20" w14:textId="77777777" w:rsidTr="0079549B">
                              <w:trPr>
                                <w:jc w:val="center"/>
                              </w:trPr>
                              <w:tc>
                                <w:tcPr>
                                  <w:tcW w:w="4286" w:type="dxa"/>
                                  <w:vAlign w:val="center"/>
                                </w:tcPr>
                                <w:p w14:paraId="3CAAABB2" w14:textId="77777777" w:rsidR="00F62D84" w:rsidRPr="00744117" w:rsidRDefault="00F62D84" w:rsidP="00F62D84">
                                  <w:pPr>
                                    <w:spacing w:line="276" w:lineRule="auto"/>
                                  </w:pPr>
                                  <w:r w:rsidRPr="00744117">
                                    <w:t>S10 S13 S20 S22 S21 S24 S17</w:t>
                                  </w:r>
                                </w:p>
                              </w:tc>
                              <w:tc>
                                <w:tcPr>
                                  <w:tcW w:w="3119" w:type="dxa"/>
                                  <w:vAlign w:val="center"/>
                                </w:tcPr>
                                <w:p w14:paraId="7A89A400" w14:textId="77777777" w:rsidR="00F62D84" w:rsidRPr="00744117" w:rsidRDefault="00F62D84" w:rsidP="00F62D84">
                                  <w:pPr>
                                    <w:spacing w:line="276" w:lineRule="auto"/>
                                    <w:ind w:left="885"/>
                                    <w:rPr>
                                      <w:lang w:val="en-US"/>
                                    </w:rPr>
                                  </w:pPr>
                                  <w:r w:rsidRPr="00744117">
                                    <w:rPr>
                                      <w:lang w:val="en-US"/>
                                    </w:rPr>
                                    <w:t>Easy</w:t>
                                  </w:r>
                                </w:p>
                              </w:tc>
                            </w:tr>
                          </w:tbl>
                          <w:p w14:paraId="57156A48" w14:textId="77777777" w:rsidR="00483313" w:rsidRDefault="00483313" w:rsidP="00483313">
                            <w:pPr>
                              <w:spacing w:line="258" w:lineRule="auto"/>
                              <w:ind w:left="0" w:hanging="2"/>
                              <w:textDirection w:val="btLr"/>
                            </w:pPr>
                          </w:p>
                          <w:p w14:paraId="6B9B2937" w14:textId="77777777" w:rsidR="00483313" w:rsidRDefault="00483313" w:rsidP="00483313">
                            <w:pPr>
                              <w:spacing w:line="258" w:lineRule="auto"/>
                              <w:ind w:left="0" w:hanging="2"/>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E58A2B" id="Rectangle 26" o:spid="_x0000_s1039" style="position:absolute;left:0;text-align:left;margin-left:0;margin-top:88.75pt;width:445.5pt;height:113.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" stroked="f">
                <v:stroke startarrowwidth="narrow" startarrowlength="short" endarrowwidth="narrow" endarrowlength="short"/>
                <v:textbox inset="2.53958mm,1.2694mm,2.53958mm,1.2694mm">
                  <w:txbxContent>
                    <w:p w14:paraId="79CE6E7B" w14:textId="031F77AA" w:rsidR="00483313" w:rsidRDefault="00483313" w:rsidP="00483313">
                      <w:pPr>
                        <w:spacing w:after="120" w:line="258" w:lineRule="auto"/>
                        <w:ind w:left="0" w:hanging="2"/>
                        <w:textDirection w:val="btLr"/>
                      </w:pPr>
                      <w:r>
                        <w:rPr>
                          <w:b/>
                        </w:rPr>
                        <w:t xml:space="preserve">Table </w:t>
                      </w:r>
                      <w:r>
                        <w:rPr>
                          <w:b/>
                        </w:rPr>
                        <w:t>3</w:t>
                      </w:r>
                      <w:r>
                        <w:rPr>
                          <w:b/>
                        </w:rPr>
                        <w:t>.</w:t>
                      </w:r>
                      <w:r>
                        <w:t xml:space="preserve"> </w:t>
                      </w:r>
                      <w:r w:rsidR="00B13115" w:rsidRPr="00B13115">
                        <w:rPr>
                          <w:lang w:val="id-ID"/>
                        </w:rPr>
                        <w:t>Categories of Tryout</w:t>
                      </w:r>
                    </w:p>
                    <w:tbl>
                      <w:tblPr>
                        <w:tblW w:w="0" w:type="auto"/>
                        <w:jc w:val="center"/>
                        <w:tblBorders>
                          <w:top w:val="single" w:sz="4" w:space="0" w:color="auto"/>
                          <w:bottom w:val="single" w:sz="4" w:space="0" w:color="auto"/>
                        </w:tblBorders>
                        <w:tblLook w:val="04A0" w:firstRow="1" w:lastRow="0" w:firstColumn="1" w:lastColumn="0" w:noHBand="0" w:noVBand="1"/>
                      </w:tblPr>
                      <w:tblGrid>
                        <w:gridCol w:w="4286"/>
                        <w:gridCol w:w="3119"/>
                      </w:tblGrid>
                      <w:tr w:rsidR="00F62D84" w:rsidRPr="00066FBE" w14:paraId="476C73F2" w14:textId="77777777" w:rsidTr="0079549B">
                        <w:trPr>
                          <w:jc w:val="center"/>
                        </w:trPr>
                        <w:tc>
                          <w:tcPr>
                            <w:tcW w:w="4286" w:type="dxa"/>
                            <w:tcBorders>
                              <w:top w:val="single" w:sz="4" w:space="0" w:color="auto"/>
                              <w:bottom w:val="single" w:sz="4" w:space="0" w:color="auto"/>
                            </w:tcBorders>
                            <w:vAlign w:val="center"/>
                          </w:tcPr>
                          <w:p w14:paraId="5B5D4DEF" w14:textId="77777777" w:rsidR="00F62D84" w:rsidRPr="004201A1" w:rsidRDefault="00F62D84" w:rsidP="00F62D84">
                            <w:pPr>
                              <w:spacing w:line="276" w:lineRule="auto"/>
                            </w:pPr>
                            <w:r>
                              <w:t>Items Number of Questions</w:t>
                            </w:r>
                          </w:p>
                        </w:tc>
                        <w:tc>
                          <w:tcPr>
                            <w:tcW w:w="3119" w:type="dxa"/>
                            <w:tcBorders>
                              <w:top w:val="single" w:sz="4" w:space="0" w:color="auto"/>
                              <w:bottom w:val="single" w:sz="4" w:space="0" w:color="auto"/>
                            </w:tcBorders>
                            <w:vAlign w:val="center"/>
                          </w:tcPr>
                          <w:p w14:paraId="2583AC0F" w14:textId="77777777" w:rsidR="00F62D84" w:rsidRPr="004201A1" w:rsidRDefault="00F62D84" w:rsidP="00F62D84">
                            <w:pPr>
                              <w:spacing w:line="276" w:lineRule="auto"/>
                              <w:ind w:left="885"/>
                            </w:pPr>
                            <w:r>
                              <w:t>Category Difficulty of Question Items</w:t>
                            </w:r>
                          </w:p>
                        </w:tc>
                      </w:tr>
                      <w:tr w:rsidR="00F62D84" w:rsidRPr="00066FBE" w14:paraId="58448BD0" w14:textId="77777777" w:rsidTr="0079549B">
                        <w:trPr>
                          <w:jc w:val="center"/>
                        </w:trPr>
                        <w:tc>
                          <w:tcPr>
                            <w:tcW w:w="4286" w:type="dxa"/>
                            <w:tcBorders>
                              <w:top w:val="single" w:sz="4" w:space="0" w:color="auto"/>
                            </w:tcBorders>
                            <w:vAlign w:val="center"/>
                          </w:tcPr>
                          <w:p w14:paraId="26A8E31B" w14:textId="50D5D2E1" w:rsidR="00F62D84" w:rsidRPr="00744117" w:rsidRDefault="00F62D84" w:rsidP="004552CC">
                            <w:pPr>
                              <w:spacing w:line="276" w:lineRule="auto"/>
                              <w:ind w:hanging="453"/>
                            </w:pPr>
                            <w:r w:rsidRPr="00744117">
                              <w:t xml:space="preserve"> </w:t>
                            </w:r>
                            <w:r w:rsidR="004552CC">
                              <w:t xml:space="preserve"> </w:t>
                            </w:r>
                            <w:r w:rsidRPr="00744117">
                              <w:t>S5 S7 S6 S3 S1</w:t>
                            </w:r>
                          </w:p>
                        </w:tc>
                        <w:tc>
                          <w:tcPr>
                            <w:tcW w:w="3119" w:type="dxa"/>
                            <w:tcBorders>
                              <w:top w:val="single" w:sz="4" w:space="0" w:color="auto"/>
                            </w:tcBorders>
                            <w:vAlign w:val="center"/>
                          </w:tcPr>
                          <w:p w14:paraId="381D54A2" w14:textId="77777777" w:rsidR="00F62D84" w:rsidRPr="00744117" w:rsidRDefault="00F62D84" w:rsidP="00F62D84">
                            <w:pPr>
                              <w:spacing w:line="276" w:lineRule="auto"/>
                              <w:ind w:left="885"/>
                              <w:rPr>
                                <w:lang w:val="en-US"/>
                              </w:rPr>
                            </w:pPr>
                            <w:r w:rsidRPr="00744117">
                              <w:rPr>
                                <w:lang w:val="en-US"/>
                              </w:rPr>
                              <w:t>Difficult</w:t>
                            </w:r>
                          </w:p>
                        </w:tc>
                      </w:tr>
                      <w:tr w:rsidR="00F62D84" w:rsidRPr="00066FBE" w14:paraId="7319B7BC" w14:textId="77777777" w:rsidTr="0079549B">
                        <w:trPr>
                          <w:jc w:val="center"/>
                        </w:trPr>
                        <w:tc>
                          <w:tcPr>
                            <w:tcW w:w="4286" w:type="dxa"/>
                            <w:vAlign w:val="center"/>
                          </w:tcPr>
                          <w:p w14:paraId="58B496E8" w14:textId="2DC3EA3B" w:rsidR="00F62D84" w:rsidRPr="00744117" w:rsidRDefault="00F62D84" w:rsidP="004552CC">
                            <w:pPr>
                              <w:spacing w:line="276" w:lineRule="auto"/>
                              <w:ind w:left="0" w:firstLine="0"/>
                            </w:pPr>
                            <w:r w:rsidRPr="00744117">
                              <w:t>S2 S4 S8 S15 S19 S9 S12 S14 S23 S11 S16 S18</w:t>
                            </w:r>
                            <w:r w:rsidR="004552CC">
                              <w:t xml:space="preserve"> </w:t>
                            </w:r>
                            <w:r w:rsidRPr="00744117">
                              <w:t>S25</w:t>
                            </w:r>
                          </w:p>
                        </w:tc>
                        <w:tc>
                          <w:tcPr>
                            <w:tcW w:w="3119" w:type="dxa"/>
                            <w:vAlign w:val="center"/>
                          </w:tcPr>
                          <w:p w14:paraId="230E3526" w14:textId="77777777" w:rsidR="00F62D84" w:rsidRPr="00744117" w:rsidRDefault="00F62D84" w:rsidP="00F62D84">
                            <w:pPr>
                              <w:spacing w:line="276" w:lineRule="auto"/>
                              <w:ind w:left="885"/>
                            </w:pPr>
                            <w:r w:rsidRPr="00744117">
                              <w:t>Moderate</w:t>
                            </w:r>
                          </w:p>
                        </w:tc>
                      </w:tr>
                      <w:tr w:rsidR="00F62D84" w:rsidRPr="00066FBE" w14:paraId="0D659A20" w14:textId="77777777" w:rsidTr="0079549B">
                        <w:trPr>
                          <w:jc w:val="center"/>
                        </w:trPr>
                        <w:tc>
                          <w:tcPr>
                            <w:tcW w:w="4286" w:type="dxa"/>
                            <w:vAlign w:val="center"/>
                          </w:tcPr>
                          <w:p w14:paraId="3CAAABB2" w14:textId="77777777" w:rsidR="00F62D84" w:rsidRPr="00744117" w:rsidRDefault="00F62D84" w:rsidP="00F62D84">
                            <w:pPr>
                              <w:spacing w:line="276" w:lineRule="auto"/>
                            </w:pPr>
                            <w:r w:rsidRPr="00744117">
                              <w:t>S10 S13 S20 S22 S21 S24 S17</w:t>
                            </w:r>
                          </w:p>
                        </w:tc>
                        <w:tc>
                          <w:tcPr>
                            <w:tcW w:w="3119" w:type="dxa"/>
                            <w:vAlign w:val="center"/>
                          </w:tcPr>
                          <w:p w14:paraId="7A89A400" w14:textId="77777777" w:rsidR="00F62D84" w:rsidRPr="00744117" w:rsidRDefault="00F62D84" w:rsidP="00F62D84">
                            <w:pPr>
                              <w:spacing w:line="276" w:lineRule="auto"/>
                              <w:ind w:left="885"/>
                              <w:rPr>
                                <w:lang w:val="en-US"/>
                              </w:rPr>
                            </w:pPr>
                            <w:r w:rsidRPr="00744117">
                              <w:rPr>
                                <w:lang w:val="en-US"/>
                              </w:rPr>
                              <w:t>Easy</w:t>
                            </w:r>
                          </w:p>
                        </w:tc>
                      </w:tr>
                    </w:tbl>
                    <w:p w14:paraId="57156A48" w14:textId="77777777" w:rsidR="00483313" w:rsidRDefault="00483313" w:rsidP="00483313">
                      <w:pPr>
                        <w:spacing w:line="258" w:lineRule="auto"/>
                        <w:ind w:left="0" w:hanging="2"/>
                        <w:textDirection w:val="btLr"/>
                      </w:pPr>
                    </w:p>
                    <w:p w14:paraId="6B9B2937" w14:textId="77777777" w:rsidR="00483313" w:rsidRDefault="00483313" w:rsidP="00483313">
                      <w:pPr>
                        <w:spacing w:line="258" w:lineRule="auto"/>
                        <w:ind w:left="0" w:hanging="2"/>
                        <w:textDirection w:val="btLr"/>
                      </w:pPr>
                    </w:p>
                  </w:txbxContent>
                </v:textbox>
                <w10:wrap type="square" anchorx="margin"/>
              </v:rect>
            </w:pict>
          </mc:Fallback>
        </mc:AlternateContent>
      </w:r>
      <w:r w:rsidR="00AC5ED5" w:rsidRPr="00AC5ED5">
        <w:rPr>
          <w:lang w:val="id-ID"/>
        </w:rPr>
        <w:t>The acceptance criteria for the item difficulty index based on the Rasch model's item response theory are -2 to +2</w:t>
      </w:r>
      <w:r w:rsidR="00AC5ED5" w:rsidRPr="00AC5ED5">
        <w:rPr>
          <w:lang w:val="en-US"/>
        </w:rPr>
        <w:t xml:space="preserve"> </w:t>
      </w:r>
      <w:r w:rsidR="00AC5ED5" w:rsidRPr="00AC5ED5">
        <w:rPr>
          <w:lang w:val="en-US"/>
        </w:rPr>
        <w:fldChar w:fldCharType="begin" w:fldLock="1"/>
      </w:r>
      <w:r w:rsidR="00AC5ED5" w:rsidRPr="00AC5ED5">
        <w:rPr>
          <w:lang w:val="en-US"/>
        </w:rPr>
        <w:instrText>ADDIN CSL_CITATION {"citationItems":[{"id":"ITEM-1","itemData":{"DOI":"10. 1007/978-94-017-1988-9","author":[{"dropping-particle":"","family":"Hambleton, R. K Swaminathan","given":"H","non-dropping-particle":"","parse-names":false,"suffix":""}],"id":"ITEM-1","issued":{"date-parts":[["1985"]]},"publisher":"Kluwer Nijhof Publishing","publisher-place":"New York","title":"Item response theori: Principles and applications","type":"book"},"uris":["http://www.mendeley.com/documents/?uuid=9f5d08f2-4032-4287-95fb-1b045a31e95e"]},{"id":"ITEM-2","itemData":{"author":[{"dropping-particle":"","family":"Mardapi","given":"D","non-dropping-particle":"","parse-names":false,"suffix":""}],"id":"ITEM-2","issued":{"date-parts":[["2012"]]},"publisher":"Nuha Medika","publisher-place":"Yogyakarta","title":"Pengukuran Penilaian dan Evaluasi Pendidikan","type":"book"},"uris":["http://www.mendeley.com/documents/?uuid=06874898-8fac-4527-90fe-a142eb9f55d9"]}],"mendeley":{"formattedCitation":"[46], [47]","plainTextFormattedCitation":"[46], [47]","previouslyFormattedCitation":"[46], [47]"},"properties":{"noteIndex":0},"schema":"https://github.com/citation-style-language/schema/raw/master/csl-citation.json"}</w:instrText>
      </w:r>
      <w:r w:rsidR="00AC5ED5" w:rsidRPr="00AC5ED5">
        <w:rPr>
          <w:lang w:val="en-US"/>
        </w:rPr>
        <w:fldChar w:fldCharType="separate"/>
      </w:r>
      <w:r w:rsidR="00AC5ED5" w:rsidRPr="00AC5ED5">
        <w:rPr>
          <w:lang w:val="en-US"/>
        </w:rPr>
        <w:t>[46], [47]</w:t>
      </w:r>
      <w:r w:rsidR="00AC5ED5" w:rsidRPr="00AC5ED5">
        <w:rPr>
          <w:lang w:val="en-US"/>
        </w:rPr>
        <w:fldChar w:fldCharType="end"/>
      </w:r>
      <w:r w:rsidR="00AC5ED5" w:rsidRPr="00AC5ED5">
        <w:rPr>
          <w:lang w:val="en-US"/>
        </w:rPr>
        <w:t xml:space="preserve">. </w:t>
      </w:r>
      <w:r w:rsidR="00AC5ED5" w:rsidRPr="00AC5ED5">
        <w:rPr>
          <w:lang w:val="id-ID"/>
        </w:rPr>
        <w:t xml:space="preserve">So it can be concluded that as a whole the items meet the index of difficulty level according to the Rasch model theory item responses. All items have good discrimination because they have a value of SE&lt;0.5-1.00 so it can be concluded that the questions have good accuracy in measuring students' chemical literacy abilities. The categories for each item are also presented in Table </w:t>
      </w:r>
      <w:r w:rsidR="00AC5ED5" w:rsidRPr="00AC5ED5">
        <w:rPr>
          <w:lang w:val="en-US"/>
        </w:rPr>
        <w:t>3.</w:t>
      </w:r>
    </w:p>
    <w:p w14:paraId="6987AB84" w14:textId="3BC042D6" w:rsidR="004552CC" w:rsidRDefault="00B34649" w:rsidP="00EB79CA">
      <w:pPr>
        <w:pBdr>
          <w:top w:val="nil"/>
          <w:left w:val="nil"/>
          <w:bottom w:val="nil"/>
          <w:right w:val="nil"/>
          <w:between w:val="nil"/>
        </w:pBdr>
        <w:spacing w:before="240" w:line="240" w:lineRule="auto"/>
        <w:ind w:left="0" w:hanging="2"/>
        <w:rPr>
          <w:lang w:val="en-US"/>
        </w:rPr>
      </w:pPr>
      <w:r w:rsidRPr="00B34649">
        <w:rPr>
          <w:lang w:val="id-ID"/>
        </w:rPr>
        <w:t>Based on the responses from students, the items which are considered difficult are the items that explain the understanding of the colloidal system based on available readings, solving problems, interpreting scientific data, and evaluating scientific investigations. Items that are considered easy relate to students' opinions to explain phenomena about the colloid system with phenomena that are often encountered</w:t>
      </w:r>
      <w:r w:rsidRPr="00B34649">
        <w:rPr>
          <w:lang w:val="en-US"/>
        </w:rPr>
        <w:t>.</w:t>
      </w:r>
    </w:p>
    <w:p w14:paraId="0DBB2950" w14:textId="0EADDF8A" w:rsidR="00EA1328" w:rsidRDefault="00EA1328" w:rsidP="00EA1328">
      <w:pPr>
        <w:pBdr>
          <w:top w:val="nil"/>
          <w:left w:val="nil"/>
          <w:bottom w:val="nil"/>
          <w:right w:val="nil"/>
          <w:between w:val="nil"/>
        </w:pBdr>
        <w:spacing w:before="240" w:after="180"/>
        <w:ind w:left="0" w:hanging="2"/>
        <w:rPr>
          <w:b/>
          <w:smallCaps/>
          <w:sz w:val="23"/>
          <w:szCs w:val="23"/>
        </w:rPr>
      </w:pPr>
      <w:r>
        <w:rPr>
          <w:b/>
          <w:smallCaps/>
          <w:sz w:val="23"/>
          <w:szCs w:val="23"/>
        </w:rPr>
        <w:t>4</w:t>
      </w:r>
      <w:r>
        <w:rPr>
          <w:b/>
          <w:smallCaps/>
          <w:sz w:val="23"/>
          <w:szCs w:val="23"/>
        </w:rPr>
        <w:t xml:space="preserve">. </w:t>
      </w:r>
      <w:r>
        <w:rPr>
          <w:b/>
          <w:smallCaps/>
          <w:sz w:val="23"/>
          <w:szCs w:val="23"/>
        </w:rPr>
        <w:t>CONCLUSION</w:t>
      </w:r>
    </w:p>
    <w:p w14:paraId="40C62D0D" w14:textId="5CBAD3BC" w:rsidR="00EA1328" w:rsidRDefault="00322547" w:rsidP="00F10F68">
      <w:pPr>
        <w:pBdr>
          <w:top w:val="nil"/>
          <w:left w:val="nil"/>
          <w:bottom w:val="nil"/>
          <w:right w:val="nil"/>
          <w:between w:val="nil"/>
        </w:pBdr>
        <w:spacing w:before="240" w:line="240" w:lineRule="auto"/>
        <w:ind w:left="0" w:right="0" w:firstLine="0"/>
        <w:rPr>
          <w:lang w:val="en-US"/>
        </w:rPr>
      </w:pPr>
      <w:r w:rsidRPr="00322547">
        <w:rPr>
          <w:lang w:val="id-ID"/>
        </w:rPr>
        <w:t>Based on the analysis of the developed CLAC instrument, there are 25 statement items consisting of 3 aspects covering aspects of content, procedural knowledge, and knowledge that are of good quality in terms of content validity and empirical validity. The results of content validity conducted by 5 expert judgments showed that the CLAC instrument that had been developed received an Aiken V index of 0.91, this indicated that the CLAC instrument was proven to be valid in content, in terms of empirical validity, including a unidimensional test that met the minimum requirements of 10%, suitability of the items against the Rasch model, good reliability scores, and unbiased items</w:t>
      </w:r>
      <w:r w:rsidRPr="00322547">
        <w:rPr>
          <w:i/>
          <w:iCs/>
          <w:lang w:val="en-US"/>
        </w:rPr>
        <w:t xml:space="preserve">. </w:t>
      </w:r>
      <w:r w:rsidRPr="00322547">
        <w:rPr>
          <w:lang w:val="id-ID"/>
        </w:rPr>
        <w:t xml:space="preserve">The assessment instrument developed has the characteristics of the items that can distinguish the ability of students with difficulty levels that meet the </w:t>
      </w:r>
      <w:r w:rsidRPr="00322547">
        <w:rPr>
          <w:i/>
          <w:iCs/>
          <w:lang w:val="id-ID"/>
        </w:rPr>
        <w:t xml:space="preserve">ZSTD output </w:t>
      </w:r>
      <w:r w:rsidRPr="00322547">
        <w:rPr>
          <w:lang w:val="id-ID"/>
        </w:rPr>
        <w:t xml:space="preserve">between -2 to +2 on the map Wright or </w:t>
      </w:r>
      <w:r w:rsidRPr="00322547">
        <w:rPr>
          <w:i/>
          <w:iCs/>
          <w:lang w:val="id-ID"/>
        </w:rPr>
        <w:t>person-item map</w:t>
      </w:r>
      <w:r w:rsidRPr="00322547">
        <w:rPr>
          <w:lang w:val="id-ID"/>
        </w:rPr>
        <w:t>.</w:t>
      </w:r>
    </w:p>
    <w:p w14:paraId="6F9B0CA4" w14:textId="59B7D2BF" w:rsidR="00E33890" w:rsidRDefault="006E2E18">
      <w:pPr>
        <w:pBdr>
          <w:top w:val="nil"/>
          <w:left w:val="nil"/>
          <w:bottom w:val="nil"/>
          <w:right w:val="nil"/>
          <w:between w:val="nil"/>
        </w:pBdr>
        <w:spacing w:before="240" w:line="240" w:lineRule="auto"/>
        <w:ind w:left="0" w:hanging="2"/>
        <w:rPr>
          <w:b/>
          <w:sz w:val="23"/>
          <w:szCs w:val="23"/>
        </w:rPr>
      </w:pPr>
      <w:r>
        <w:rPr>
          <w:b/>
          <w:sz w:val="23"/>
          <w:szCs w:val="23"/>
        </w:rPr>
        <w:t>AUTHORS’ CONTRIBUTIONS</w:t>
      </w:r>
    </w:p>
    <w:p w14:paraId="59E34D3A" w14:textId="77777777" w:rsidR="00F10F68" w:rsidRPr="00F10F68" w:rsidRDefault="00F10F68" w:rsidP="00F10F68">
      <w:pPr>
        <w:numPr>
          <w:ilvl w:val="0"/>
          <w:numId w:val="2"/>
        </w:numPr>
        <w:pBdr>
          <w:top w:val="nil"/>
          <w:left w:val="nil"/>
          <w:bottom w:val="nil"/>
          <w:right w:val="nil"/>
          <w:between w:val="nil"/>
        </w:pBdr>
        <w:spacing w:before="240" w:line="240" w:lineRule="auto"/>
        <w:ind w:left="360" w:right="0"/>
        <w:rPr>
          <w:lang w:val="en-US"/>
        </w:rPr>
      </w:pPr>
      <w:proofErr w:type="spellStart"/>
      <w:r w:rsidRPr="00F10F68">
        <w:rPr>
          <w:lang w:val="en-US"/>
        </w:rPr>
        <w:t>Isna</w:t>
      </w:r>
      <w:proofErr w:type="spellEnd"/>
      <w:r w:rsidRPr="00F10F68">
        <w:rPr>
          <w:lang w:val="en-US"/>
        </w:rPr>
        <w:t xml:space="preserve"> </w:t>
      </w:r>
      <w:proofErr w:type="spellStart"/>
      <w:r w:rsidRPr="00F10F68">
        <w:rPr>
          <w:lang w:val="en-US"/>
        </w:rPr>
        <w:t>Rezkia</w:t>
      </w:r>
      <w:proofErr w:type="spellEnd"/>
      <w:r w:rsidRPr="00F10F68">
        <w:rPr>
          <w:lang w:val="en-US"/>
        </w:rPr>
        <w:t xml:space="preserve"> Lukman as </w:t>
      </w:r>
      <w:proofErr w:type="spellStart"/>
      <w:r w:rsidRPr="00F10F68">
        <w:rPr>
          <w:lang w:val="en-US"/>
        </w:rPr>
        <w:t>reseacrh</w:t>
      </w:r>
      <w:proofErr w:type="spellEnd"/>
      <w:r w:rsidRPr="00F10F68">
        <w:rPr>
          <w:lang w:val="en-US"/>
        </w:rPr>
        <w:t xml:space="preserve"> data analyst</w:t>
      </w:r>
    </w:p>
    <w:p w14:paraId="00168650" w14:textId="77777777" w:rsidR="00F10F68" w:rsidRPr="00F10F68" w:rsidRDefault="00F10F68" w:rsidP="00F10F68">
      <w:pPr>
        <w:numPr>
          <w:ilvl w:val="0"/>
          <w:numId w:val="2"/>
        </w:numPr>
        <w:pBdr>
          <w:top w:val="nil"/>
          <w:left w:val="nil"/>
          <w:bottom w:val="nil"/>
          <w:right w:val="nil"/>
          <w:between w:val="nil"/>
        </w:pBdr>
        <w:spacing w:before="5" w:line="240" w:lineRule="auto"/>
        <w:ind w:left="360" w:right="0"/>
        <w:rPr>
          <w:lang w:val="en-US"/>
        </w:rPr>
      </w:pPr>
      <w:proofErr w:type="spellStart"/>
      <w:r w:rsidRPr="00F10F68">
        <w:rPr>
          <w:lang w:val="en-US"/>
        </w:rPr>
        <w:t>Mellyzar</w:t>
      </w:r>
      <w:proofErr w:type="spellEnd"/>
      <w:r w:rsidRPr="00F10F68">
        <w:rPr>
          <w:lang w:val="en-US"/>
        </w:rPr>
        <w:t xml:space="preserve"> as Lead researcher and compiler of chemical literacy instrument</w:t>
      </w:r>
    </w:p>
    <w:p w14:paraId="7B2B4F2D" w14:textId="77777777" w:rsidR="00F10F68" w:rsidRPr="00F10F68" w:rsidRDefault="00F10F68" w:rsidP="00F10F68">
      <w:pPr>
        <w:numPr>
          <w:ilvl w:val="0"/>
          <w:numId w:val="2"/>
        </w:numPr>
        <w:pBdr>
          <w:top w:val="nil"/>
          <w:left w:val="nil"/>
          <w:bottom w:val="nil"/>
          <w:right w:val="nil"/>
          <w:between w:val="nil"/>
        </w:pBdr>
        <w:spacing w:before="5" w:line="240" w:lineRule="auto"/>
        <w:ind w:left="360" w:right="0"/>
        <w:rPr>
          <w:lang w:val="en-US"/>
        </w:rPr>
      </w:pPr>
      <w:proofErr w:type="spellStart"/>
      <w:r w:rsidRPr="00F10F68">
        <w:rPr>
          <w:lang w:val="en-US"/>
        </w:rPr>
        <w:t>Sirry</w:t>
      </w:r>
      <w:proofErr w:type="spellEnd"/>
      <w:r w:rsidRPr="00F10F68">
        <w:rPr>
          <w:lang w:val="en-US"/>
        </w:rPr>
        <w:t xml:space="preserve"> Alvina as compiler of chemical literacy instrument</w:t>
      </w:r>
    </w:p>
    <w:p w14:paraId="47896051" w14:textId="77777777" w:rsidR="00F10F68" w:rsidRPr="00F10F68" w:rsidRDefault="00F10F68" w:rsidP="00F10F68">
      <w:pPr>
        <w:numPr>
          <w:ilvl w:val="0"/>
          <w:numId w:val="2"/>
        </w:numPr>
        <w:pBdr>
          <w:top w:val="nil"/>
          <w:left w:val="nil"/>
          <w:bottom w:val="nil"/>
          <w:right w:val="nil"/>
          <w:between w:val="nil"/>
        </w:pBdr>
        <w:spacing w:before="5" w:line="240" w:lineRule="auto"/>
        <w:ind w:left="360" w:right="0"/>
        <w:rPr>
          <w:lang w:val="en-US"/>
        </w:rPr>
      </w:pPr>
      <w:r w:rsidRPr="00F10F68">
        <w:rPr>
          <w:lang w:val="id-ID"/>
        </w:rPr>
        <w:t>Nailis Sa</w:t>
      </w:r>
      <w:r w:rsidRPr="00F10F68">
        <w:rPr>
          <w:lang w:val="en-US"/>
        </w:rPr>
        <w:t>a</w:t>
      </w:r>
      <w:r w:rsidRPr="00F10F68">
        <w:rPr>
          <w:lang w:val="id-ID"/>
        </w:rPr>
        <w:t>’dah</w:t>
      </w:r>
      <w:r w:rsidRPr="00F10F68">
        <w:rPr>
          <w:lang w:val="en-US"/>
        </w:rPr>
        <w:t xml:space="preserve"> as research </w:t>
      </w:r>
      <w:proofErr w:type="spellStart"/>
      <w:r w:rsidRPr="00F10F68">
        <w:rPr>
          <w:lang w:val="en-US"/>
        </w:rPr>
        <w:t>assistent</w:t>
      </w:r>
      <w:proofErr w:type="spellEnd"/>
    </w:p>
    <w:p w14:paraId="6F9B0CA6" w14:textId="77777777" w:rsidR="00E33890" w:rsidRDefault="006E2E18">
      <w:pPr>
        <w:pBdr>
          <w:top w:val="nil"/>
          <w:left w:val="nil"/>
          <w:bottom w:val="nil"/>
          <w:right w:val="nil"/>
          <w:between w:val="nil"/>
        </w:pBdr>
        <w:spacing w:before="240" w:line="240" w:lineRule="auto"/>
        <w:ind w:left="0" w:hanging="2"/>
        <w:rPr>
          <w:sz w:val="23"/>
          <w:szCs w:val="23"/>
        </w:rPr>
      </w:pPr>
      <w:r>
        <w:rPr>
          <w:b/>
          <w:sz w:val="23"/>
          <w:szCs w:val="23"/>
        </w:rPr>
        <w:t>ACKNOWLEDGMENTS</w:t>
      </w:r>
    </w:p>
    <w:p w14:paraId="6F9B0CA7" w14:textId="53AC0859" w:rsidR="00E33890" w:rsidRDefault="008B2CBA">
      <w:pPr>
        <w:pBdr>
          <w:top w:val="nil"/>
          <w:left w:val="nil"/>
          <w:bottom w:val="nil"/>
          <w:right w:val="nil"/>
          <w:between w:val="nil"/>
        </w:pBdr>
        <w:spacing w:after="120"/>
        <w:ind w:left="0" w:hanging="2"/>
      </w:pPr>
      <w:r w:rsidRPr="008B2CBA">
        <w:rPr>
          <w:lang w:val="id-ID"/>
        </w:rPr>
        <w:t>The author would like to thank profusely, To AKSI-ADB Malikussaleh University for its funding in the Research Grant for Young Researcher scheme</w:t>
      </w:r>
      <w:r w:rsidRPr="008B2CBA">
        <w:rPr>
          <w:lang w:val="en-US"/>
        </w:rPr>
        <w:t xml:space="preserve"> with contract number 05/UN.45.3.8/HK.02.03/2022</w:t>
      </w:r>
      <w:r w:rsidRPr="008B2CBA">
        <w:rPr>
          <w:lang w:val="id-ID"/>
        </w:rPr>
        <w:t>.</w:t>
      </w:r>
    </w:p>
    <w:p w14:paraId="6F9B0CA8" w14:textId="77777777" w:rsidR="00E33890" w:rsidRDefault="006E2E18">
      <w:pPr>
        <w:pBdr>
          <w:top w:val="nil"/>
          <w:left w:val="nil"/>
          <w:bottom w:val="nil"/>
          <w:right w:val="nil"/>
          <w:between w:val="nil"/>
        </w:pBdr>
        <w:spacing w:before="240"/>
        <w:ind w:left="0" w:hanging="2"/>
        <w:rPr>
          <w:b/>
          <w:sz w:val="23"/>
          <w:szCs w:val="23"/>
        </w:rPr>
      </w:pPr>
      <w:r>
        <w:rPr>
          <w:b/>
          <w:sz w:val="23"/>
          <w:szCs w:val="23"/>
        </w:rPr>
        <w:t>REFERENCES</w:t>
      </w:r>
    </w:p>
    <w:p w14:paraId="588A9FDF"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w:t>
      </w:r>
      <w:r w:rsidRPr="00744117">
        <w:rPr>
          <w:noProof/>
        </w:rPr>
        <w:tab/>
        <w:t xml:space="preserve">Y. Yuliati, “Literasi sains dalam pembelajaran IPA,” </w:t>
      </w:r>
      <w:r w:rsidRPr="00744117">
        <w:rPr>
          <w:i/>
          <w:iCs/>
          <w:noProof/>
        </w:rPr>
        <w:t>J. cakrawala pendas</w:t>
      </w:r>
      <w:r w:rsidRPr="00744117">
        <w:rPr>
          <w:noProof/>
        </w:rPr>
        <w:t>, vol. 3, no. 2, p. 266426., 2017.</w:t>
      </w:r>
    </w:p>
    <w:p w14:paraId="59241124"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w:t>
      </w:r>
      <w:r w:rsidRPr="00744117">
        <w:rPr>
          <w:noProof/>
        </w:rPr>
        <w:tab/>
        <w:t xml:space="preserve">M. Muliani, M. Marhami, and I. R. Lukman, “Persepsi Mahasiswa Calon Guru Tentang Literasi Sains,” </w:t>
      </w:r>
      <w:r w:rsidRPr="00744117">
        <w:rPr>
          <w:i/>
          <w:iCs/>
          <w:noProof/>
        </w:rPr>
        <w:t>JISIP (Jurnal Ilmu Sos. dan Pendidikan)</w:t>
      </w:r>
      <w:r w:rsidRPr="00744117">
        <w:rPr>
          <w:noProof/>
        </w:rPr>
        <w:t>, vol. 5, no. 1, Jan. 2021, doi: 10.36312/JISIP.V5I1.1575.</w:t>
      </w:r>
    </w:p>
    <w:p w14:paraId="57B277D4"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w:t>
      </w:r>
      <w:r w:rsidRPr="00744117">
        <w:rPr>
          <w:noProof/>
        </w:rPr>
        <w:tab/>
        <w:t xml:space="preserve">Y. Rahmawati, A. Ridwan, T. Hadinugrahaningsih, and Soeprijanto, “Developing critical and creative thinking skills through STEAM integration in chemistry learning,” </w:t>
      </w:r>
      <w:r w:rsidRPr="00744117">
        <w:rPr>
          <w:i/>
          <w:iCs/>
          <w:noProof/>
        </w:rPr>
        <w:t>J. Phys. Conf. Ser.</w:t>
      </w:r>
      <w:r w:rsidRPr="00744117">
        <w:rPr>
          <w:noProof/>
        </w:rPr>
        <w:t>, vol. 1156, no. 1, p. 012033, Jan. 2019, doi: 10.1088/1742-6596/1156/1/012033.</w:t>
      </w:r>
    </w:p>
    <w:p w14:paraId="74ABF37A"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[4]</w:t>
      </w:r>
      <w:r w:rsidRPr="00744117">
        <w:rPr>
          <w:noProof/>
        </w:rPr>
        <w:tab/>
        <w:t xml:space="preserve">Yandriani, R. U. Rery, and M. Erna, “Developing and Validating the Assessment Instruments to Measure Students’ Analytical Thinking Ability and Chemical Literacy on Colligative Properties,” </w:t>
      </w:r>
      <w:r w:rsidRPr="00744117">
        <w:rPr>
          <w:i/>
          <w:iCs/>
          <w:noProof/>
        </w:rPr>
        <w:t>J. Phys. Conf. Ser.</w:t>
      </w:r>
      <w:r w:rsidRPr="00744117">
        <w:rPr>
          <w:noProof/>
        </w:rPr>
        <w:t>, vol. 1788, no. 1, p. 012027, Feb. 2021, doi: 10.1088/1742-6596/1788/1/012027.</w:t>
      </w:r>
    </w:p>
    <w:p w14:paraId="03A88C01"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[5]</w:t>
      </w:r>
      <w:r w:rsidRPr="00744117">
        <w:rPr>
          <w:noProof/>
        </w:rPr>
        <w:tab/>
        <w:t>H. Muchtar, “Kurnia Pengembangan Instrumen Literasi Kimia Siswa SMA Pada Materi Larutan,” Universitas Pendidikan Indonesia, 2019.</w:t>
      </w:r>
    </w:p>
    <w:p w14:paraId="740FBF6D"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lastRenderedPageBreak/>
        <w:t>[6]</w:t>
      </w:r>
      <w:r w:rsidRPr="00744117">
        <w:rPr>
          <w:noProof/>
        </w:rPr>
        <w:tab/>
        <w:t xml:space="preserve">E. Ad’Hiya and E. W. Laksono, “Students’ Analytical Thinking Skills and Chemical Literacy Concerning Chemical Equilibrium,” </w:t>
      </w:r>
      <w:r w:rsidRPr="00744117">
        <w:rPr>
          <w:i/>
          <w:iCs/>
          <w:noProof/>
        </w:rPr>
        <w:t>AIP Conf. Proc.</w:t>
      </w:r>
      <w:r w:rsidRPr="00744117">
        <w:rPr>
          <w:noProof/>
        </w:rPr>
        <w:t>, vol. 2021, no. 1, p. 080005, Oct. 2018, doi: 10.1063/1.5062824.</w:t>
      </w:r>
    </w:p>
    <w:p w14:paraId="1B2FBA3A"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[7]</w:t>
      </w:r>
      <w:r w:rsidRPr="00744117">
        <w:rPr>
          <w:noProof/>
        </w:rPr>
        <w:tab/>
        <w:t xml:space="preserve">P. Turiman, J. Omar, A. M. Daud, and K. Osman, “Fostering the 21st Century Skills through Scientific Literacy and Science Process Skills,” </w:t>
      </w:r>
      <w:r w:rsidRPr="00744117">
        <w:rPr>
          <w:i/>
          <w:iCs/>
          <w:noProof/>
        </w:rPr>
        <w:t>Procedia - Soc. Behav. Sci.</w:t>
      </w:r>
      <w:r w:rsidRPr="00744117">
        <w:rPr>
          <w:noProof/>
        </w:rPr>
        <w:t>, vol. 59, pp. 110–116, Oct. 2012, doi: 10.1016/J.SBSPRO.2012.09.253.</w:t>
      </w:r>
    </w:p>
    <w:p w14:paraId="1107FFD7"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[8]</w:t>
      </w:r>
      <w:r w:rsidRPr="00744117">
        <w:rPr>
          <w:noProof/>
        </w:rPr>
        <w:tab/>
        <w:t xml:space="preserve">S. Rahayu, “Mengoptimalkan aspek literasi dalam pembelajaran kimia abad 21,” in </w:t>
      </w:r>
      <w:r w:rsidRPr="00744117">
        <w:rPr>
          <w:i/>
          <w:iCs/>
          <w:noProof/>
        </w:rPr>
        <w:t>Prosiding Seminar Nasional Kimia UNY</w:t>
      </w:r>
      <w:r w:rsidRPr="00744117">
        <w:rPr>
          <w:noProof/>
        </w:rPr>
        <w:t>, 2017, pp. 183–188.</w:t>
      </w:r>
    </w:p>
    <w:p w14:paraId="7AEE9A7E"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[9]</w:t>
      </w:r>
      <w:r w:rsidRPr="00744117">
        <w:rPr>
          <w:noProof/>
        </w:rPr>
        <w:tab/>
        <w:t xml:space="preserve">R. Thummathong and K. Thathong, “Chemical literacy levels of engineering students in Northeastern Thailand,” </w:t>
      </w:r>
      <w:r w:rsidRPr="00744117">
        <w:rPr>
          <w:i/>
          <w:iCs/>
          <w:noProof/>
        </w:rPr>
        <w:t>Kasetsart J. Soc. Sci.</w:t>
      </w:r>
      <w:r w:rsidRPr="00744117">
        <w:rPr>
          <w:noProof/>
        </w:rPr>
        <w:t>, vol. 39, no. 3, pp. 478–487, Sep. 2018, doi: 10.1016/J.KJSS.2018.06.009.</w:t>
      </w:r>
    </w:p>
    <w:p w14:paraId="2EA9C73D"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[10]</w:t>
      </w:r>
      <w:r w:rsidRPr="00744117">
        <w:rPr>
          <w:noProof/>
        </w:rPr>
        <w:tab/>
        <w:t xml:space="preserve">R. Thummathong and K. T. Hathong, “Construction of a chemical literacy test for engineering students,” </w:t>
      </w:r>
      <w:r w:rsidRPr="00744117">
        <w:rPr>
          <w:i/>
          <w:iCs/>
          <w:noProof/>
        </w:rPr>
        <w:t>J. Turkish Sci. Educ.</w:t>
      </w:r>
      <w:r w:rsidRPr="00744117">
        <w:rPr>
          <w:noProof/>
        </w:rPr>
        <w:t>, vol. 13, no. 3, pp. 185-198., 2016.</w:t>
      </w:r>
    </w:p>
    <w:p w14:paraId="424D458D"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[11]</w:t>
      </w:r>
      <w:r w:rsidRPr="00744117">
        <w:rPr>
          <w:noProof/>
        </w:rPr>
        <w:tab/>
        <w:t xml:space="preserve">U. Aiman, S. Hasyda, and Uslan, “The Influence of Process Oriented Guided Inquiry Learning (POGIL) Model Assisted by Realia Media to Improve Scientific Literacy and Critical Thinking Skill of Primary School Students,” </w:t>
      </w:r>
      <w:r w:rsidRPr="00744117">
        <w:rPr>
          <w:i/>
          <w:iCs/>
          <w:noProof/>
        </w:rPr>
        <w:t>Eur. J. Educ. Res.</w:t>
      </w:r>
      <w:r w:rsidRPr="00744117">
        <w:rPr>
          <w:noProof/>
        </w:rPr>
        <w:t>, vol. 9, no. 4, pp. 1635–1647, Oct. 2020, doi: 10.12973/EU-JER.9.4.1635.</w:t>
      </w:r>
    </w:p>
    <w:p w14:paraId="29721C9F"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[12]</w:t>
      </w:r>
      <w:r w:rsidRPr="00744117">
        <w:rPr>
          <w:noProof/>
        </w:rPr>
        <w:tab/>
        <w:t xml:space="preserve">OECD, </w:t>
      </w:r>
      <w:r w:rsidRPr="00744117">
        <w:rPr>
          <w:i/>
          <w:iCs/>
          <w:noProof/>
        </w:rPr>
        <w:t>PISA 2018 Insight and Interpretations</w:t>
      </w:r>
      <w:r w:rsidRPr="00744117">
        <w:rPr>
          <w:noProof/>
        </w:rPr>
        <w:t>. 2019.</w:t>
      </w:r>
    </w:p>
    <w:p w14:paraId="19C0D6E8"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[13]</w:t>
      </w:r>
      <w:r w:rsidRPr="00744117">
        <w:rPr>
          <w:noProof/>
        </w:rPr>
        <w:tab/>
        <w:t xml:space="preserve">N. Sutrisna, “Analisis Kemampuan Literasi Sains Peserta Didik SMA Di Kota Sungai Penuh. Jurnal Inovasi Penelitian,” </w:t>
      </w:r>
      <w:r w:rsidRPr="00744117">
        <w:rPr>
          <w:i/>
          <w:iCs/>
          <w:noProof/>
        </w:rPr>
        <w:t>J. Inov. Penelit.</w:t>
      </w:r>
      <w:r w:rsidRPr="00744117">
        <w:rPr>
          <w:noProof/>
        </w:rPr>
        <w:t>, vol. 1, no. 12, pp. 2683–2694, 2021, doi: 10.47492/jip.v1i12.530.</w:t>
      </w:r>
    </w:p>
    <w:p w14:paraId="16013F47"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[14]</w:t>
      </w:r>
      <w:r w:rsidRPr="00744117">
        <w:rPr>
          <w:noProof/>
        </w:rPr>
        <w:tab/>
        <w:t xml:space="preserve">N. P. Pertiwi, N. D. Nurhayati, and S. Saputro, “Analysis of Science Literacy Teaching Book Class XI at SMA Negeri Surakarta on Acid-Base Material,” </w:t>
      </w:r>
      <w:r w:rsidRPr="00744117">
        <w:rPr>
          <w:i/>
          <w:iCs/>
          <w:noProof/>
        </w:rPr>
        <w:t>THABIEA  J. Nat. Sci. Teach.</w:t>
      </w:r>
      <w:r w:rsidRPr="00744117">
        <w:rPr>
          <w:noProof/>
        </w:rPr>
        <w:t>, vol. 5, no. 1, pp. 17–33, Mar. 2022, doi: 10.21043/THABIEA.V5I1.11719.</w:t>
      </w:r>
    </w:p>
    <w:p w14:paraId="48E534B9"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[15]</w:t>
      </w:r>
      <w:r w:rsidRPr="00744117">
        <w:rPr>
          <w:noProof/>
        </w:rPr>
        <w:tab/>
        <w:t xml:space="preserve">A. Ekantini and I. Wilujeng, “The Development of Science Student Worksheet Based on Education for Environmental Sustainable Development to Enhance Scientific Literacy.,” </w:t>
      </w:r>
      <w:r w:rsidRPr="00744117">
        <w:rPr>
          <w:i/>
          <w:iCs/>
          <w:noProof/>
        </w:rPr>
        <w:t>Univers. J. Educ. Res.</w:t>
      </w:r>
      <w:r w:rsidRPr="00744117">
        <w:rPr>
          <w:noProof/>
        </w:rPr>
        <w:t>, vol. 6, no. 6, pp. 1339–1347, 2018, doi: 10.13189/ujer.2018.060625.</w:t>
      </w:r>
    </w:p>
    <w:p w14:paraId="1C248450"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[16]</w:t>
      </w:r>
      <w:r w:rsidRPr="00744117">
        <w:rPr>
          <w:noProof/>
        </w:rPr>
        <w:tab/>
        <w:t xml:space="preserve">J. Jufrida, F. R. Basuki, W. Kurniawan, M. D. Pangestu, and O. Fitaloka, “Scientific Literacy and Science Learning Achievement at Junior High School,” </w:t>
      </w:r>
      <w:r w:rsidRPr="00744117">
        <w:rPr>
          <w:i/>
          <w:iCs/>
          <w:noProof/>
        </w:rPr>
        <w:t>Int. J. Eval. Res. Educ.</w:t>
      </w:r>
      <w:r w:rsidRPr="00744117">
        <w:rPr>
          <w:noProof/>
        </w:rPr>
        <w:t>, vol. 8, no. 4, pp. 630–636, Dec. 2019, doi: 10.11591/IJERE.V8I4.20312.</w:t>
      </w:r>
    </w:p>
    <w:p w14:paraId="3FF4A224"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[17]</w:t>
      </w:r>
      <w:r w:rsidRPr="00744117">
        <w:rPr>
          <w:noProof/>
        </w:rPr>
        <w:tab/>
        <w:t xml:space="preserve">J. Vogelzang, W. F. Admiraal, and J. H. Van Driel, “Effects of Scrum Methodology on Students’ Critical Scientific Literacy: the Case of Green Chemistry,” </w:t>
      </w:r>
      <w:r w:rsidRPr="00744117">
        <w:rPr>
          <w:i/>
          <w:iCs/>
          <w:noProof/>
        </w:rPr>
        <w:t>Chem. Educ. Res. Pract.</w:t>
      </w:r>
      <w:r w:rsidRPr="00744117">
        <w:rPr>
          <w:noProof/>
        </w:rPr>
        <w:t>, vol. 21, no. 3, pp. 940–952, Jun. 2020, doi: 10.1039/D0RP00066C.</w:t>
      </w:r>
    </w:p>
    <w:p w14:paraId="26FD17F2"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[18]</w:t>
      </w:r>
      <w:r w:rsidRPr="00744117">
        <w:rPr>
          <w:noProof/>
        </w:rPr>
        <w:tab/>
        <w:t xml:space="preserve">E. V. Aulia, S. Poedjiastoeti, and R. Agustini, “The Effectiveness of Guided Inquiry-Based Learning Material on Students’ Science Literacy Skills,” </w:t>
      </w:r>
      <w:r w:rsidRPr="00744117">
        <w:rPr>
          <w:i/>
          <w:iCs/>
          <w:noProof/>
        </w:rPr>
        <w:t>J. Phys. Conf. Ser.</w:t>
      </w:r>
      <w:r w:rsidRPr="00744117">
        <w:rPr>
          <w:noProof/>
        </w:rPr>
        <w:t>, vol. 947, no. 1, p. 012049, Jan. 2018, doi: 10.1088/1742-6596/947/1/012049.</w:t>
      </w:r>
    </w:p>
    <w:p w14:paraId="568C62B9"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[19]</w:t>
      </w:r>
      <w:r w:rsidRPr="00744117">
        <w:rPr>
          <w:noProof/>
        </w:rPr>
        <w:tab/>
        <w:t xml:space="preserve">U. Cahyana, S. Supatmi, Erdawati, and Y. Rahmawati, “The Influence of Web-Based Learning and Learning Independence toward Student’s Scientific Literacy in Chemistry Course.,” </w:t>
      </w:r>
      <w:r w:rsidRPr="00744117">
        <w:rPr>
          <w:i/>
          <w:iCs/>
          <w:noProof/>
        </w:rPr>
        <w:t>Int. J. Instr.</w:t>
      </w:r>
      <w:r w:rsidRPr="00744117">
        <w:rPr>
          <w:noProof/>
        </w:rPr>
        <w:t>, vol. 12, no. 4, pp. 655–668, Oct. 2019, doi: 10.29333/iji.2019.12442a.</w:t>
      </w:r>
    </w:p>
    <w:p w14:paraId="62B43BCE"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[20]</w:t>
      </w:r>
      <w:r w:rsidRPr="00744117">
        <w:rPr>
          <w:noProof/>
        </w:rPr>
        <w:tab/>
        <w:t xml:space="preserve">C. A. Dewi, Y. Khery, and M. Erna, “An Ethnoscience Study in Chemistry Learning to Develop Scientific Literacy,” </w:t>
      </w:r>
      <w:r w:rsidRPr="00744117">
        <w:rPr>
          <w:i/>
          <w:iCs/>
          <w:noProof/>
        </w:rPr>
        <w:t>J. Pendidik. IPA Indones.</w:t>
      </w:r>
      <w:r w:rsidRPr="00744117">
        <w:rPr>
          <w:noProof/>
        </w:rPr>
        <w:t>, vol. 8, no. 2, pp. 279–287, 2019, doi: 10.15294/jpii.v8i2.19261.</w:t>
      </w:r>
    </w:p>
    <w:p w14:paraId="37673D8E"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[21]</w:t>
      </w:r>
      <w:r w:rsidRPr="00744117">
        <w:rPr>
          <w:noProof/>
        </w:rPr>
        <w:tab/>
        <w:t xml:space="preserve">M. Imansari, Sudarmin, and W. Sumarni, “Analisis Literasi Kimia Peserta Didik Melalui Pembelajaran Inkuiri Terbimbing Bermuatan Etnosains,” </w:t>
      </w:r>
      <w:r w:rsidRPr="00744117">
        <w:rPr>
          <w:i/>
          <w:iCs/>
          <w:noProof/>
        </w:rPr>
        <w:t>J. Inov. Pendidik. Kim.</w:t>
      </w:r>
      <w:r w:rsidRPr="00744117">
        <w:rPr>
          <w:noProof/>
        </w:rPr>
        <w:t>, vol. 12, no. 2, pp. 2201–2211, 2018, doi: 10.15294/jipk.v12i2.15480.</w:t>
      </w:r>
    </w:p>
    <w:p w14:paraId="0EB143C2"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[22]</w:t>
      </w:r>
      <w:r w:rsidRPr="00744117">
        <w:rPr>
          <w:noProof/>
        </w:rPr>
        <w:tab/>
        <w:t xml:space="preserve">M. Perkasa and N. Aznam, “Pengembangan SSP kimia berbasis pendidikan berkelanjutan untuk meningkatkan literasi kimia dan kesadaran terhadap lingkungan,” </w:t>
      </w:r>
      <w:r w:rsidRPr="00744117">
        <w:rPr>
          <w:i/>
          <w:iCs/>
          <w:noProof/>
        </w:rPr>
        <w:t>J. Inov. Pendidik. IPA</w:t>
      </w:r>
      <w:r w:rsidRPr="00744117">
        <w:rPr>
          <w:noProof/>
        </w:rPr>
        <w:t>, vol. 2, no. 1, pp. 46–57, Apr. 2016, doi: 10.21831/JIPI.V2I1.10269.</w:t>
      </w:r>
    </w:p>
    <w:p w14:paraId="418134C8"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[23]</w:t>
      </w:r>
      <w:r w:rsidRPr="00744117">
        <w:rPr>
          <w:noProof/>
        </w:rPr>
        <w:tab/>
        <w:t xml:space="preserve">M. Mellyzar, I. R. Lukman, and B. Busyraturrahmi, “Pengaruh Strategi Process Oriented Guided Inquiry Learning (POGIL) Terhadap Kemampuan Proses Sains dan Literasi Kimia,” </w:t>
      </w:r>
      <w:r w:rsidRPr="00744117">
        <w:rPr>
          <w:i/>
          <w:iCs/>
          <w:noProof/>
        </w:rPr>
        <w:t>Jambura J. Educ. Chem.</w:t>
      </w:r>
      <w:r w:rsidRPr="00744117">
        <w:rPr>
          <w:noProof/>
        </w:rPr>
        <w:t>, vol. 4, no. 2, pp. 70–76, Aug. 2022, doi: 10.34312/JJEC.V4I2.15338.</w:t>
      </w:r>
    </w:p>
    <w:p w14:paraId="14D2A531"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[24]</w:t>
      </w:r>
      <w:r w:rsidRPr="00744117">
        <w:rPr>
          <w:noProof/>
        </w:rPr>
        <w:tab/>
        <w:t xml:space="preserve">Y. Shwartz, R. Ben-Zvi, and A. Hofstein, “Chemical literacy: What does this mean to scientists and school teachers?,” </w:t>
      </w:r>
      <w:r w:rsidRPr="00744117">
        <w:rPr>
          <w:i/>
          <w:iCs/>
          <w:noProof/>
        </w:rPr>
        <w:t>J. Chem. Educ.</w:t>
      </w:r>
      <w:r w:rsidRPr="00744117">
        <w:rPr>
          <w:noProof/>
        </w:rPr>
        <w:t>, vol. 83, no. 10, p. 1557, 2006.</w:t>
      </w:r>
    </w:p>
    <w:p w14:paraId="7017F5AE"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[25]</w:t>
      </w:r>
      <w:r w:rsidRPr="00744117">
        <w:rPr>
          <w:noProof/>
        </w:rPr>
        <w:tab/>
        <w:t xml:space="preserve">S. Celik, “Chemical Literacy Levels of Science and Mathematics Teacher Candidates,” </w:t>
      </w:r>
      <w:r w:rsidRPr="00744117">
        <w:rPr>
          <w:i/>
          <w:iCs/>
          <w:noProof/>
        </w:rPr>
        <w:t xml:space="preserve">Aust. J. Teach. </w:t>
      </w:r>
      <w:r w:rsidRPr="00744117">
        <w:rPr>
          <w:i/>
          <w:iCs/>
          <w:noProof/>
        </w:rPr>
        <w:lastRenderedPageBreak/>
        <w:t>Educ.</w:t>
      </w:r>
      <w:r w:rsidRPr="00744117">
        <w:rPr>
          <w:noProof/>
        </w:rPr>
        <w:t>, vol. 39, no. 1, p. 39, 2014, doi: 10.14221/ajte.2014v39n1.5.</w:t>
      </w:r>
    </w:p>
    <w:p w14:paraId="62390CD8"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[26]</w:t>
      </w:r>
      <w:r w:rsidRPr="00744117">
        <w:rPr>
          <w:noProof/>
        </w:rPr>
        <w:tab/>
        <w:t xml:space="preserve">S. S. Fahmina, N. Y. Indriyanti, W. A. E. Setyowati, M. Masykuri, and S. Yamtinah, “Dimension of Chemical Literacy and its Influence in Chemistry Learning,” </w:t>
      </w:r>
      <w:r w:rsidRPr="00744117">
        <w:rPr>
          <w:i/>
          <w:iCs/>
          <w:noProof/>
        </w:rPr>
        <w:t>J. Phys. Conf. Ser.</w:t>
      </w:r>
      <w:r w:rsidRPr="00744117">
        <w:rPr>
          <w:noProof/>
        </w:rPr>
        <w:t>, vol. 1233, no. 1, p. 012026, Jun. 2019, doi: 10.1088/1742-6596/1233/1/012026.</w:t>
      </w:r>
    </w:p>
    <w:p w14:paraId="41AEA564"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[27]</w:t>
      </w:r>
      <w:r w:rsidRPr="00744117">
        <w:rPr>
          <w:noProof/>
        </w:rPr>
        <w:tab/>
        <w:t xml:space="preserve">A. Asyhari, “Profil peningkatan kemampuan literasi sains siswa melalui pembelajaran saintifik,” </w:t>
      </w:r>
      <w:r w:rsidRPr="00744117">
        <w:rPr>
          <w:i/>
          <w:iCs/>
          <w:noProof/>
        </w:rPr>
        <w:t>J. Ilm. Pendidik. Fis. Al-Biruni</w:t>
      </w:r>
      <w:r w:rsidRPr="00744117">
        <w:rPr>
          <w:noProof/>
        </w:rPr>
        <w:t>, vol. 4, no. 2, pp. 179–191, 2015.</w:t>
      </w:r>
    </w:p>
    <w:p w14:paraId="640BCEE2"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[28]</w:t>
      </w:r>
      <w:r w:rsidRPr="00744117">
        <w:rPr>
          <w:noProof/>
        </w:rPr>
        <w:tab/>
        <w:t xml:space="preserve">O. Inbar-Lourie, “Language Assessment Literacy,” </w:t>
      </w:r>
      <w:r w:rsidRPr="00744117">
        <w:rPr>
          <w:i/>
          <w:iCs/>
          <w:noProof/>
        </w:rPr>
        <w:t>Encycl. Appl. Linguist.</w:t>
      </w:r>
      <w:r w:rsidRPr="00744117">
        <w:rPr>
          <w:noProof/>
        </w:rPr>
        <w:t>, Nov. 2012, doi: 10.1002/9781405198431.WBEAL0605.</w:t>
      </w:r>
    </w:p>
    <w:p w14:paraId="340CA0F9"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[29]</w:t>
      </w:r>
      <w:r w:rsidRPr="00744117">
        <w:rPr>
          <w:noProof/>
        </w:rPr>
        <w:tab/>
        <w:t xml:space="preserve">C. Coombe, H. Vafadar, and H. Mohebbi, “Language Assessment Literacy: What Do We Need to Learn, Unlearn, and Relearn?,” </w:t>
      </w:r>
      <w:r w:rsidRPr="00744117">
        <w:rPr>
          <w:i/>
          <w:iCs/>
          <w:noProof/>
        </w:rPr>
        <w:t>Lang. Test. Asia</w:t>
      </w:r>
      <w:r w:rsidRPr="00744117">
        <w:rPr>
          <w:noProof/>
        </w:rPr>
        <w:t>, vol. 10, no. 1, pp. 1–16, Dec. 2020, doi: 10.1186/S40468-020-00101-6/TABLES/1.</w:t>
      </w:r>
    </w:p>
    <w:p w14:paraId="6388475F"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[30]</w:t>
      </w:r>
      <w:r w:rsidRPr="00744117">
        <w:rPr>
          <w:noProof/>
        </w:rPr>
        <w:tab/>
        <w:t xml:space="preserve">N. Chasanah, W. Widodo, and N. Suprapto, “Pengembangan Instrumen Asesmen Literasi Sains Untuk Mendeskripsikan Profil Peserta Didik,” </w:t>
      </w:r>
      <w:r w:rsidRPr="00744117">
        <w:rPr>
          <w:i/>
          <w:iCs/>
          <w:noProof/>
        </w:rPr>
        <w:t>PENDIPA J. Sci. Educ.</w:t>
      </w:r>
      <w:r w:rsidRPr="00744117">
        <w:rPr>
          <w:noProof/>
        </w:rPr>
        <w:t>, vol. 6, no. 2, pp. 474–483, May 2022, doi: 10.33369/PENDIPA.6.2.474-483.</w:t>
      </w:r>
    </w:p>
    <w:p w14:paraId="7E26FC52"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[31]</w:t>
      </w:r>
      <w:r w:rsidRPr="00744117">
        <w:rPr>
          <w:noProof/>
        </w:rPr>
        <w:tab/>
        <w:t xml:space="preserve">A. Rusilowati, S. E. Nugroho, E. S. M. Susilowati, T. Mustika, N. Harfiyani, and H. T. Prabowo, “The Development of Scientific Literacy Assessment to Measure Student’s Scientific Literacy Skills in Energy Theme,” </w:t>
      </w:r>
      <w:r w:rsidRPr="00744117">
        <w:rPr>
          <w:i/>
          <w:iCs/>
          <w:noProof/>
        </w:rPr>
        <w:t>J. Phys. Conf. Ser.</w:t>
      </w:r>
      <w:r w:rsidRPr="00744117">
        <w:rPr>
          <w:noProof/>
        </w:rPr>
        <w:t>, vol. 983, no. 1, p. 012046, Mar. 2018, doi: 10.1088/1742-6596/983/1/012046.</w:t>
      </w:r>
    </w:p>
    <w:p w14:paraId="38AADCD0"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[32]</w:t>
      </w:r>
      <w:r w:rsidRPr="00744117">
        <w:rPr>
          <w:noProof/>
        </w:rPr>
        <w:tab/>
        <w:t xml:space="preserve">N. Muniroh, A. Rusilowati, and W. Isnaeni, “Instrument Development of Science Literacy Assessment with Socio-Sciences Contains in Natural Science Learning for Elementary School,” </w:t>
      </w:r>
      <w:r w:rsidRPr="00744117">
        <w:rPr>
          <w:i/>
          <w:iCs/>
          <w:noProof/>
        </w:rPr>
        <w:t>J. Res. Educ. Res. Eval.</w:t>
      </w:r>
      <w:r w:rsidRPr="00744117">
        <w:rPr>
          <w:noProof/>
        </w:rPr>
        <w:t>, vol. 11, no. 1, pp. 15–22, Mar. 2022, doi: 10.15294/JERE.V11I1.55421.</w:t>
      </w:r>
    </w:p>
    <w:p w14:paraId="0DE5D754"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[33]</w:t>
      </w:r>
      <w:r w:rsidRPr="00744117">
        <w:rPr>
          <w:noProof/>
        </w:rPr>
        <w:tab/>
        <w:t xml:space="preserve">M. N. B. Prastiwi and E. W. Laksono, “The Ability of Analytical Thinking and Chemistry Literacy in High School Students Learning,” </w:t>
      </w:r>
      <w:r w:rsidRPr="00744117">
        <w:rPr>
          <w:i/>
          <w:iCs/>
          <w:noProof/>
        </w:rPr>
        <w:t>J. Phys. Conf. Ser.</w:t>
      </w:r>
      <w:r w:rsidRPr="00744117">
        <w:rPr>
          <w:noProof/>
        </w:rPr>
        <w:t>, vol. 1097, no. 1, p. 012061, Sep. 2018, doi: 10.1088/1742-6596/1097/1/012061.</w:t>
      </w:r>
    </w:p>
    <w:p w14:paraId="45827B18"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[34]</w:t>
      </w:r>
      <w:r w:rsidRPr="00744117">
        <w:rPr>
          <w:noProof/>
        </w:rPr>
        <w:tab/>
        <w:t xml:space="preserve">M. Muntholib, S. Ibnu, S. Rahayu, F. Fajaroh, S. Kusairi, and B. Kuswandi, “Chemical literacy: Performance of first year chemistry students on chemical kinetics,” </w:t>
      </w:r>
      <w:r w:rsidRPr="00744117">
        <w:rPr>
          <w:i/>
          <w:iCs/>
          <w:noProof/>
        </w:rPr>
        <w:t>Indones. J. Chem.</w:t>
      </w:r>
      <w:r w:rsidRPr="00744117">
        <w:rPr>
          <w:noProof/>
        </w:rPr>
        <w:t>, vol. 20, no. 2, pp. 468–482, 2020.</w:t>
      </w:r>
    </w:p>
    <w:p w14:paraId="39B92FCB"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[35]</w:t>
      </w:r>
      <w:r w:rsidRPr="00744117">
        <w:rPr>
          <w:noProof/>
        </w:rPr>
        <w:tab/>
        <w:t xml:space="preserve">L. L. Oriondo and E. M. D. Antonio, </w:t>
      </w:r>
      <w:r w:rsidRPr="00744117">
        <w:rPr>
          <w:i/>
          <w:iCs/>
          <w:noProof/>
        </w:rPr>
        <w:t>Evaluating Educational Outcomes (Test, Measurement and Evaluating)</w:t>
      </w:r>
      <w:r w:rsidRPr="00744117">
        <w:rPr>
          <w:noProof/>
        </w:rPr>
        <w:t>. Philippines: Rex Book Store, 1984.</w:t>
      </w:r>
    </w:p>
    <w:p w14:paraId="106B640D"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[36]</w:t>
      </w:r>
      <w:r w:rsidRPr="00744117">
        <w:rPr>
          <w:noProof/>
        </w:rPr>
        <w:tab/>
        <w:t xml:space="preserve">L. R. Aiken, “Three Coefficients for Analyzing: the Reliability and Validity of Ratings,” </w:t>
      </w:r>
      <w:r w:rsidRPr="00744117">
        <w:rPr>
          <w:i/>
          <w:iCs/>
          <w:noProof/>
        </w:rPr>
        <w:t>Educ. Psychol. Meas.</w:t>
      </w:r>
      <w:r w:rsidRPr="00744117">
        <w:rPr>
          <w:noProof/>
        </w:rPr>
        <w:t>, vol. 45, no. 1, pp. 131–142, 1985, doi: 10.1177/0013164485451012.</w:t>
      </w:r>
    </w:p>
    <w:p w14:paraId="02EA1062"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[37]</w:t>
      </w:r>
      <w:r w:rsidRPr="00744117">
        <w:rPr>
          <w:noProof/>
        </w:rPr>
        <w:tab/>
        <w:t xml:space="preserve">Y. Shwartz, R. Ben-Zvi, and A. Hofstein, “The Use of Scientific Literacy Taxonomy for Assessing the Development of Chemical Literacy Among High-School Students,” </w:t>
      </w:r>
      <w:r w:rsidRPr="00744117">
        <w:rPr>
          <w:i/>
          <w:iCs/>
          <w:noProof/>
        </w:rPr>
        <w:t>Chem. Educ. Res. Pract.</w:t>
      </w:r>
      <w:r w:rsidRPr="00744117">
        <w:rPr>
          <w:noProof/>
        </w:rPr>
        <w:t>, vol. 7, no. 4, pp. 203–225, Oct. 2006, doi: 10.1039/B6RP90011A.</w:t>
      </w:r>
    </w:p>
    <w:p w14:paraId="688321EB"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[38]</w:t>
      </w:r>
      <w:r w:rsidRPr="00744117">
        <w:rPr>
          <w:noProof/>
        </w:rPr>
        <w:tab/>
        <w:t xml:space="preserve">T. G.Bond and C. M. Fox, </w:t>
      </w:r>
      <w:r w:rsidRPr="00744117">
        <w:rPr>
          <w:i/>
          <w:iCs/>
          <w:noProof/>
        </w:rPr>
        <w:t>Applying the rasch model fundamental measurement in the human science (3rd ed.)</w:t>
      </w:r>
      <w:r w:rsidRPr="00744117">
        <w:rPr>
          <w:noProof/>
        </w:rPr>
        <w:t>. New York: Routledge, 2015.</w:t>
      </w:r>
    </w:p>
    <w:p w14:paraId="09B9158F"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[39]</w:t>
      </w:r>
      <w:r w:rsidRPr="00744117">
        <w:rPr>
          <w:noProof/>
        </w:rPr>
        <w:tab/>
        <w:t xml:space="preserve">E. Brentani and S. Golia, “Unidimensionality in the Rasch model: how to detect and interpret,” </w:t>
      </w:r>
      <w:r w:rsidRPr="00744117">
        <w:rPr>
          <w:i/>
          <w:iCs/>
          <w:noProof/>
        </w:rPr>
        <w:t>Statistica</w:t>
      </w:r>
      <w:r w:rsidRPr="00744117">
        <w:rPr>
          <w:noProof/>
        </w:rPr>
        <w:t>, vol. 67, no. 3, pp. 253–261, Sep. 2007, doi: 10.6092/ISSN.1973-2201/3508.</w:t>
      </w:r>
    </w:p>
    <w:p w14:paraId="1C7CC99F"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[40]</w:t>
      </w:r>
      <w:r w:rsidRPr="00744117">
        <w:rPr>
          <w:noProof/>
        </w:rPr>
        <w:tab/>
        <w:t xml:space="preserve">B. Sumintono and W. Widhiarso, </w:t>
      </w:r>
      <w:r w:rsidRPr="00744117">
        <w:rPr>
          <w:i/>
          <w:iCs/>
          <w:noProof/>
        </w:rPr>
        <w:t>Aplikasi model rasch untuk penelitian ilmu-ilmu soasial</w:t>
      </w:r>
      <w:r w:rsidRPr="00744117">
        <w:rPr>
          <w:noProof/>
        </w:rPr>
        <w:t>. Cimahi: Trim Komunikata Publishing House, 2014.</w:t>
      </w:r>
    </w:p>
    <w:p w14:paraId="7A4F94DA"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[41]</w:t>
      </w:r>
      <w:r w:rsidRPr="00744117">
        <w:rPr>
          <w:noProof/>
        </w:rPr>
        <w:tab/>
        <w:t xml:space="preserve">M. Park and X. Liu, “An Investigation of Item Difficulties in Energy Aspects Across Biology, Chemistry, Environmental Science, and Physics,” </w:t>
      </w:r>
      <w:r w:rsidRPr="00744117">
        <w:rPr>
          <w:i/>
          <w:iCs/>
          <w:noProof/>
        </w:rPr>
        <w:t>Res. Sci. Educ.</w:t>
      </w:r>
      <w:r w:rsidRPr="00744117">
        <w:rPr>
          <w:noProof/>
        </w:rPr>
        <w:t>, vol. 49, no. 140, pp. 1–18, 2019, doi: 10.1007/s11165-019-9819-y.</w:t>
      </w:r>
    </w:p>
    <w:p w14:paraId="5A0E62F5"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[42]</w:t>
      </w:r>
      <w:r w:rsidRPr="00744117">
        <w:rPr>
          <w:noProof/>
        </w:rPr>
        <w:tab/>
        <w:t xml:space="preserve">L. J. Cronbach, “Coefficient Alpha and the Internal Structure of Tests,” </w:t>
      </w:r>
      <w:r w:rsidRPr="00744117">
        <w:rPr>
          <w:i/>
          <w:iCs/>
          <w:noProof/>
        </w:rPr>
        <w:t>Psychometrika</w:t>
      </w:r>
      <w:r w:rsidRPr="00744117">
        <w:rPr>
          <w:noProof/>
        </w:rPr>
        <w:t>, vol. 16, no. 3, pp. 297–334, Sep. 1951, doi: 10.1007/BF02310555.</w:t>
      </w:r>
    </w:p>
    <w:p w14:paraId="74F74344"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[43]</w:t>
      </w:r>
      <w:r w:rsidRPr="00744117">
        <w:rPr>
          <w:noProof/>
        </w:rPr>
        <w:tab/>
        <w:t xml:space="preserve">J. M. Cortina, “What is Coefficient Alpha? An Examination of Theory and Applications,” </w:t>
      </w:r>
      <w:r w:rsidRPr="00744117">
        <w:rPr>
          <w:i/>
          <w:iCs/>
          <w:noProof/>
        </w:rPr>
        <w:t>J. Appl. Psychol.</w:t>
      </w:r>
      <w:r w:rsidRPr="00744117">
        <w:rPr>
          <w:noProof/>
        </w:rPr>
        <w:t>, vol. 78, no. 1, pp. 98–104, 2013, doi: 10.1037/0021-9010.78.1.98.</w:t>
      </w:r>
    </w:p>
    <w:p w14:paraId="4CDC87FB"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[44]</w:t>
      </w:r>
      <w:r w:rsidRPr="00744117">
        <w:rPr>
          <w:noProof/>
        </w:rPr>
        <w:tab/>
        <w:t xml:space="preserve">Sujarwanto and A. Rusilowati, “Pengembangan Instrumen PerformanceAssessment berpendekatan Scientific pada Tema Kalor dan Perpindahannya,” </w:t>
      </w:r>
      <w:r w:rsidRPr="00744117">
        <w:rPr>
          <w:i/>
          <w:iCs/>
          <w:noProof/>
        </w:rPr>
        <w:t>Unnes Sci. Educ. J.</w:t>
      </w:r>
      <w:r w:rsidRPr="00744117">
        <w:rPr>
          <w:noProof/>
        </w:rPr>
        <w:t>, vol. 4, no. 1, pp. 780–787, 2015.</w:t>
      </w:r>
    </w:p>
    <w:p w14:paraId="435980D3"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lastRenderedPageBreak/>
        <w:t>[45]</w:t>
      </w:r>
      <w:r w:rsidRPr="00744117">
        <w:rPr>
          <w:noProof/>
        </w:rPr>
        <w:tab/>
        <w:t xml:space="preserve">L. Rome and B. Zhang, “Investigating the Effects of Differential Item Functioning on Proficiency Classification,” </w:t>
      </w:r>
      <w:r w:rsidRPr="00744117">
        <w:rPr>
          <w:i/>
          <w:iCs/>
          <w:noProof/>
        </w:rPr>
        <w:t>Appl. Psycological Meas.</w:t>
      </w:r>
      <w:r w:rsidRPr="00744117">
        <w:rPr>
          <w:noProof/>
        </w:rPr>
        <w:t>, vol. 42, no. 4, pp. 259–274, 2018, doi: 10.1177/0146621617726789.</w:t>
      </w:r>
    </w:p>
    <w:p w14:paraId="5BAFF3EB" w14:textId="77777777" w:rsidR="00457876" w:rsidRPr="00744117" w:rsidRDefault="00457876" w:rsidP="008F2FB5">
      <w:pPr>
        <w:widowControl w:val="0"/>
        <w:autoSpaceDE w:val="0"/>
        <w:autoSpaceDN w:val="0"/>
        <w:adjustRightInd w:val="0"/>
        <w:spacing w:before="120" w:after="0" w:line="259" w:lineRule="auto"/>
        <w:ind w:left="0" w:right="0" w:firstLine="0"/>
        <w:rPr>
          <w:noProof/>
        </w:rPr>
      </w:pPr>
      <w:r w:rsidRPr="00744117">
        <w:rPr>
          <w:noProof/>
        </w:rPr>
        <w:t>[46]</w:t>
      </w:r>
      <w:r w:rsidRPr="00744117">
        <w:rPr>
          <w:noProof/>
        </w:rPr>
        <w:tab/>
        <w:t xml:space="preserve">H. Hambleton, R. K Swaminathan, </w:t>
      </w:r>
      <w:r w:rsidRPr="00744117">
        <w:rPr>
          <w:i/>
          <w:iCs/>
          <w:noProof/>
        </w:rPr>
        <w:t>Item response theori: Principles and applications</w:t>
      </w:r>
      <w:r w:rsidRPr="00744117">
        <w:rPr>
          <w:noProof/>
        </w:rPr>
        <w:t>. New York: Kluwer Nijhof Publishing, 1985. doi: 10. 1007/978-94-017-1988-9.</w:t>
      </w:r>
    </w:p>
    <w:p w14:paraId="1070B987" w14:textId="2B432D17" w:rsidR="00157829" w:rsidRDefault="00457876" w:rsidP="008F2FB5">
      <w:pPr>
        <w:pBdr>
          <w:top w:val="nil"/>
          <w:left w:val="nil"/>
          <w:bottom w:val="nil"/>
          <w:right w:val="nil"/>
          <w:between w:val="nil"/>
        </w:pBdr>
        <w:spacing w:before="120" w:after="0" w:line="259" w:lineRule="auto"/>
        <w:ind w:left="0" w:right="0" w:firstLine="0"/>
      </w:pPr>
      <w:r w:rsidRPr="00744117">
        <w:rPr>
          <w:noProof/>
        </w:rPr>
        <w:t>[47]</w:t>
      </w:r>
      <w:r w:rsidRPr="00744117">
        <w:rPr>
          <w:noProof/>
        </w:rPr>
        <w:tab/>
        <w:t xml:space="preserve">D. Mardapi, </w:t>
      </w:r>
      <w:r w:rsidRPr="00744117">
        <w:rPr>
          <w:i/>
          <w:iCs/>
          <w:noProof/>
        </w:rPr>
        <w:t>Pengukuran Penilaian dan Evaluasi Pendidikan</w:t>
      </w:r>
      <w:r w:rsidRPr="00744117">
        <w:rPr>
          <w:noProof/>
        </w:rPr>
        <w:t>. Yogyakarta: Nuha Medika, 2012.</w:t>
      </w:r>
    </w:p>
    <w:p w14:paraId="6F9B0CB6" w14:textId="77777777" w:rsidR="00E33890" w:rsidRDefault="00E33890">
      <w:pPr>
        <w:spacing w:after="179" w:line="259" w:lineRule="auto"/>
        <w:ind w:left="0" w:right="0" w:firstLine="0"/>
        <w:jc w:val="left"/>
      </w:pPr>
    </w:p>
    <w:sectPr w:rsidR="00E33890">
      <w:headerReference w:type="even" r:id="rId15"/>
      <w:headerReference w:type="default" r:id="rId16"/>
      <w:footerReference w:type="even" r:id="rId17"/>
      <w:footerReference w:type="default" r:id="rId18"/>
      <w:headerReference w:type="first" r:id="rId19"/>
      <w:footerReference w:type="first" r:id="rId20"/>
      <w:pgSz w:w="11909" w:h="16834"/>
      <w:pgMar w:top="1440" w:right="1128" w:bottom="709" w:left="1701" w:header="720" w:footer="720" w:gutter="0"/>
      <w:pgNumType w:start="1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AD35" w14:textId="77777777" w:rsidR="00102358" w:rsidRDefault="00102358">
      <w:pPr>
        <w:spacing w:after="0" w:line="240" w:lineRule="auto"/>
      </w:pPr>
      <w:r>
        <w:separator/>
      </w:r>
    </w:p>
  </w:endnote>
  <w:endnote w:type="continuationSeparator" w:id="0">
    <w:p w14:paraId="5E0BC025" w14:textId="77777777" w:rsidR="00102358" w:rsidRDefault="0010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0CC1" w14:textId="77777777" w:rsidR="00E33890" w:rsidRDefault="006E2E18">
    <w:pPr>
      <w:spacing w:after="0" w:line="259" w:lineRule="auto"/>
      <w:ind w:left="0" w:right="50" w:firstLine="0"/>
      <w:jc w:val="center"/>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0CC2" w14:textId="4FC1F0C3" w:rsidR="00E33890" w:rsidRDefault="006E2E18">
    <w:pPr>
      <w:spacing w:after="0" w:line="259" w:lineRule="auto"/>
      <w:ind w:left="0" w:right="50" w:firstLine="0"/>
      <w:jc w:val="center"/>
    </w:pPr>
    <w:r>
      <w:fldChar w:fldCharType="begin"/>
    </w:r>
    <w:r>
      <w:instrText>PAGE</w:instrText>
    </w:r>
    <w:r>
      <w:fldChar w:fldCharType="separate"/>
    </w:r>
    <w:r w:rsidR="00397098">
      <w:rPr>
        <w:noProof/>
      </w:rPr>
      <w:t>112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0CC5" w14:textId="77777777" w:rsidR="00E33890" w:rsidRDefault="00E3389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BAD5" w14:textId="77777777" w:rsidR="00102358" w:rsidRDefault="00102358">
      <w:pPr>
        <w:spacing w:after="0" w:line="240" w:lineRule="auto"/>
      </w:pPr>
      <w:r>
        <w:separator/>
      </w:r>
    </w:p>
  </w:footnote>
  <w:footnote w:type="continuationSeparator" w:id="0">
    <w:p w14:paraId="0CBC1139" w14:textId="77777777" w:rsidR="00102358" w:rsidRDefault="00102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0CBF" w14:textId="77777777" w:rsidR="00E33890" w:rsidRDefault="006E2E18">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14:anchorId="6F9B0CC6" wp14:editId="6F9B0CC7">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70" name="Group 15370"/>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6" name="Group 16"/>
                      <wpg:cNvGrpSpPr/>
                      <wpg:grpSpPr>
                        <a:xfrm>
                          <a:off x="2284957" y="3776837"/>
                          <a:ext cx="6122086" cy="6325"/>
                          <a:chOff x="0" y="0"/>
                          <a:chExt cx="6122086" cy="6325"/>
                        </a:xfrm>
                      </wpg:grpSpPr>
                      <wps:wsp>
                        <wps:cNvPr id="17" name="Rectangle 17"/>
                        <wps:cNvSpPr/>
                        <wps:spPr>
                          <a:xfrm>
                            <a:off x="0" y="0"/>
                            <a:ext cx="6122075" cy="6325"/>
                          </a:xfrm>
                          <a:prstGeom prst="rect">
                            <a:avLst/>
                          </a:prstGeom>
                          <a:noFill/>
                          <a:ln>
                            <a:noFill/>
                          </a:ln>
                        </wps:spPr>
                        <wps:txbx>
                          <w:txbxContent>
                            <w:p w14:paraId="6F9B0CD7" w14:textId="77777777" w:rsidR="00E33890" w:rsidRDefault="00E33890">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9" name="Freeform: Shape 19"/>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F9B0CC6" id="Group 15370" o:spid="_x0000_s1040" style="position:absolute;margin-left:56.7pt;margin-top:54.7pt;width:482.05pt;height:.5pt;z-index:251660288;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">
              <v:group id="Group 16" o:spid="_x0000_s1041"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2"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6F9B0CD7" w14:textId="77777777" w:rsidR="00E33890" w:rsidRDefault="00E33890">
                        <w:pPr>
                          <w:spacing w:after="0" w:line="240" w:lineRule="auto"/>
                          <w:ind w:left="0" w:right="0" w:firstLine="0"/>
                          <w:jc w:val="left"/>
                          <w:textDirection w:val="btLr"/>
                        </w:pPr>
                      </w:p>
                    </w:txbxContent>
                  </v:textbox>
                </v:rect>
                <v:shape id="Freeform: Shape 19" o:spid="_x0000_s1043"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Pr>
        <w:sz w:val="18"/>
        <w:szCs w:val="18"/>
      </w:rPr>
      <w:t>Kartika et al.</w:t>
    </w:r>
    <w:r>
      <w:rPr>
        <w:sz w:val="18"/>
        <w:szCs w:val="18"/>
      </w:rPr>
      <w:tab/>
    </w:r>
    <w:r>
      <w:rPr>
        <w:i/>
        <w:sz w:val="18"/>
        <w:szCs w:val="18"/>
      </w:rPr>
      <w:t xml:space="preserve">Indonesian Journal of Biotechnology </w:t>
    </w:r>
    <w:r>
      <w:rPr>
        <w:sz w:val="18"/>
        <w:szCs w:val="18"/>
      </w:rPr>
      <w:t>27(3), 2021, 111‐117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0CC0" w14:textId="45378627" w:rsidR="00E33890" w:rsidRDefault="006E2E18">
    <w:pPr>
      <w:tabs>
        <w:tab w:val="right" w:pos="9645"/>
      </w:tabs>
      <w:spacing w:after="0" w:line="259" w:lineRule="auto"/>
      <w:ind w:left="0" w:right="0" w:firstLine="0"/>
      <w:jc w:val="left"/>
    </w:pPr>
    <w:bookmarkStart w:id="1" w:name="_heading=h.gjdgxs" w:colFirst="0" w:colLast="0"/>
    <w:bookmarkEnd w:id="1"/>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14:anchorId="6F9B0CC8" wp14:editId="6F9B0CC9">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69" name="Group 15369"/>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0" name="Group 10"/>
                      <wpg:cNvGrpSpPr/>
                      <wpg:grpSpPr>
                        <a:xfrm>
                          <a:off x="2284957" y="3776837"/>
                          <a:ext cx="6122086" cy="6325"/>
                          <a:chOff x="0" y="0"/>
                          <a:chExt cx="6122086" cy="6325"/>
                        </a:xfrm>
                      </wpg:grpSpPr>
                      <wps:wsp>
                        <wps:cNvPr id="11" name="Rectangle 11"/>
                        <wps:cNvSpPr/>
                        <wps:spPr>
                          <a:xfrm>
                            <a:off x="0" y="0"/>
                            <a:ext cx="6122075" cy="6325"/>
                          </a:xfrm>
                          <a:prstGeom prst="rect">
                            <a:avLst/>
                          </a:prstGeom>
                          <a:noFill/>
                          <a:ln>
                            <a:noFill/>
                          </a:ln>
                        </wps:spPr>
                        <wps:txbx>
                          <w:txbxContent>
                            <w:p w14:paraId="6F9B0CD5" w14:textId="77777777" w:rsidR="00E33890" w:rsidRDefault="00E33890">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2" name="Freeform: Shape 12"/>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F9B0CC8" id="Group 15369" o:spid="_x0000_s1044" style="position:absolute;margin-left:56.7pt;margin-top:54.7pt;width:482.05pt;height:.5pt;z-index:251658240;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">
              <v:group id="Group 10" o:spid="_x0000_s1045"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6"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F9B0CD5" w14:textId="77777777" w:rsidR="00E33890" w:rsidRDefault="00E33890">
                        <w:pPr>
                          <w:spacing w:after="0" w:line="240" w:lineRule="auto"/>
                          <w:ind w:left="0" w:right="0" w:firstLine="0"/>
                          <w:jc w:val="left"/>
                          <w:textDirection w:val="btLr"/>
                        </w:pPr>
                      </w:p>
                    </w:txbxContent>
                  </v:textbox>
                </v:rect>
                <v:shape id="Freeform: Shape 12" o:spid="_x0000_s1047"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proofErr w:type="spellStart"/>
    <w:r w:rsidR="00FC3C54">
      <w:rPr>
        <w:sz w:val="18"/>
        <w:szCs w:val="18"/>
      </w:rPr>
      <w:t>Isna</w:t>
    </w:r>
    <w:proofErr w:type="spellEnd"/>
    <w:r>
      <w:rPr>
        <w:sz w:val="18"/>
        <w:szCs w:val="18"/>
      </w:rPr>
      <w:t xml:space="preserve"> et al.</w:t>
    </w:r>
    <w:r>
      <w:rPr>
        <w:sz w:val="18"/>
        <w:szCs w:val="18"/>
      </w:rPr>
      <w:tab/>
    </w:r>
    <w:r>
      <w:rPr>
        <w:i/>
        <w:sz w:val="18"/>
        <w:szCs w:val="18"/>
      </w:rPr>
      <w:t xml:space="preserve">Proceedings </w:t>
    </w:r>
    <w:proofErr w:type="spellStart"/>
    <w:r>
      <w:rPr>
        <w:i/>
        <w:sz w:val="18"/>
        <w:szCs w:val="18"/>
      </w:rPr>
      <w:t>MICoMS</w:t>
    </w:r>
    <w:proofErr w:type="spellEnd"/>
    <w:r>
      <w:rPr>
        <w:i/>
        <w:sz w:val="18"/>
        <w:szCs w:val="18"/>
      </w:rPr>
      <w:t xml:space="preserve"> 2022, ISSN………</w:t>
    </w:r>
    <w:r>
      <w:rPr>
        <w:sz w:val="18"/>
        <w:szCs w:val="18"/>
      </w:rPr>
      <w:t xml:space="preserve">, </w:t>
    </w:r>
    <w:proofErr w:type="spellStart"/>
    <w:r>
      <w:rPr>
        <w:sz w:val="18"/>
        <w:szCs w:val="18"/>
      </w:rPr>
      <w:t>hal</w:t>
    </w:r>
    <w:proofErr w:type="spellEnd"/>
    <w:r>
      <w:rPr>
        <w:sz w:val="18"/>
        <w:szCs w:val="18"/>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0CC3" w14:textId="77777777" w:rsidR="00E33890" w:rsidRDefault="006E2E18">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59264" behindDoc="0" locked="0" layoutInCell="1" hidden="0" allowOverlap="1" wp14:anchorId="6F9B0CCA" wp14:editId="6F9B0CCB">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72" name="Group 15372"/>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3" name="Group 13"/>
                      <wpg:cNvGrpSpPr/>
                      <wpg:grpSpPr>
                        <a:xfrm>
                          <a:off x="2284957" y="3776837"/>
                          <a:ext cx="6122086" cy="6325"/>
                          <a:chOff x="0" y="0"/>
                          <a:chExt cx="6122086" cy="6325"/>
                        </a:xfrm>
                      </wpg:grpSpPr>
                      <wps:wsp>
                        <wps:cNvPr id="14" name="Rectangle 14"/>
                        <wps:cNvSpPr/>
                        <wps:spPr>
                          <a:xfrm>
                            <a:off x="0" y="0"/>
                            <a:ext cx="6122075" cy="6325"/>
                          </a:xfrm>
                          <a:prstGeom prst="rect">
                            <a:avLst/>
                          </a:prstGeom>
                          <a:noFill/>
                          <a:ln>
                            <a:noFill/>
                          </a:ln>
                        </wps:spPr>
                        <wps:txbx>
                          <w:txbxContent>
                            <w:p w14:paraId="6F9B0CD6" w14:textId="77777777" w:rsidR="00E33890" w:rsidRDefault="00E33890">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5" name="Freeform: Shape 15"/>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F9B0CCA" id="Group 15372" o:spid="_x0000_s1048" style="position:absolute;margin-left:56.7pt;margin-top:54.7pt;width:482.05pt;height:.5pt;z-index:251659264;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">
              <v:group id="Group 13" o:spid="_x0000_s1049"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50"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6F9B0CD6" w14:textId="77777777" w:rsidR="00E33890" w:rsidRDefault="00E33890">
                        <w:pPr>
                          <w:spacing w:after="0" w:line="240" w:lineRule="auto"/>
                          <w:ind w:left="0" w:right="0" w:firstLine="0"/>
                          <w:jc w:val="left"/>
                          <w:textDirection w:val="btLr"/>
                        </w:pPr>
                      </w:p>
                    </w:txbxContent>
                  </v:textbox>
                </v:rect>
                <v:shape id="Freeform: Shape 15" o:spid="_x0000_s1051"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Pr>
        <w:sz w:val="18"/>
        <w:szCs w:val="18"/>
      </w:rPr>
      <w:t>Kartika et al.</w:t>
    </w:r>
    <w:r>
      <w:rPr>
        <w:sz w:val="18"/>
        <w:szCs w:val="18"/>
      </w:rPr>
      <w:tab/>
    </w:r>
    <w:r>
      <w:rPr>
        <w:i/>
        <w:sz w:val="18"/>
        <w:szCs w:val="18"/>
      </w:rPr>
      <w:t xml:space="preserve">Indonesian Journal of Biotechnology </w:t>
    </w:r>
    <w:r>
      <w:rPr>
        <w:sz w:val="18"/>
        <w:szCs w:val="18"/>
      </w:rPr>
      <w:t>27(3), 2021, 111‐117</w:t>
    </w:r>
  </w:p>
  <w:p w14:paraId="6F9B0CC4" w14:textId="77777777" w:rsidR="00E33890" w:rsidRDefault="00E3389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324E"/>
    <w:multiLevelType w:val="multilevel"/>
    <w:tmpl w:val="17A2E7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DD595B"/>
    <w:multiLevelType w:val="hybridMultilevel"/>
    <w:tmpl w:val="739E07EC"/>
    <w:lvl w:ilvl="0" w:tplc="085027A6">
      <w:start w:val="1"/>
      <w:numFmt w:val="decimal"/>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num w:numId="1" w16cid:durableId="872308492">
    <w:abstractNumId w:val="0"/>
  </w:num>
  <w:num w:numId="2" w16cid:durableId="1406756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90"/>
    <w:rsid w:val="000079B6"/>
    <w:rsid w:val="00060540"/>
    <w:rsid w:val="00102358"/>
    <w:rsid w:val="00157829"/>
    <w:rsid w:val="001669D0"/>
    <w:rsid w:val="00170DBC"/>
    <w:rsid w:val="001816E8"/>
    <w:rsid w:val="00195810"/>
    <w:rsid w:val="001B3B6C"/>
    <w:rsid w:val="002055B8"/>
    <w:rsid w:val="002B2247"/>
    <w:rsid w:val="002D198A"/>
    <w:rsid w:val="0030554C"/>
    <w:rsid w:val="00322547"/>
    <w:rsid w:val="00376CD9"/>
    <w:rsid w:val="00383A05"/>
    <w:rsid w:val="00392978"/>
    <w:rsid w:val="00395896"/>
    <w:rsid w:val="00397098"/>
    <w:rsid w:val="003A618F"/>
    <w:rsid w:val="003E6734"/>
    <w:rsid w:val="004552CC"/>
    <w:rsid w:val="00457876"/>
    <w:rsid w:val="00460183"/>
    <w:rsid w:val="00462729"/>
    <w:rsid w:val="00483313"/>
    <w:rsid w:val="0049317D"/>
    <w:rsid w:val="004A0E0F"/>
    <w:rsid w:val="004E413C"/>
    <w:rsid w:val="0051195A"/>
    <w:rsid w:val="0052167F"/>
    <w:rsid w:val="00577913"/>
    <w:rsid w:val="005861CF"/>
    <w:rsid w:val="0059578C"/>
    <w:rsid w:val="005E6769"/>
    <w:rsid w:val="00614E35"/>
    <w:rsid w:val="006331F5"/>
    <w:rsid w:val="00642363"/>
    <w:rsid w:val="006C254A"/>
    <w:rsid w:val="006E2E18"/>
    <w:rsid w:val="007312B3"/>
    <w:rsid w:val="007B049D"/>
    <w:rsid w:val="007C3F2E"/>
    <w:rsid w:val="00822C80"/>
    <w:rsid w:val="0087327F"/>
    <w:rsid w:val="00894D2F"/>
    <w:rsid w:val="008A018A"/>
    <w:rsid w:val="008B2CBA"/>
    <w:rsid w:val="008D0EE6"/>
    <w:rsid w:val="008D6BF1"/>
    <w:rsid w:val="008F2FB5"/>
    <w:rsid w:val="00965254"/>
    <w:rsid w:val="00972A31"/>
    <w:rsid w:val="00990E2B"/>
    <w:rsid w:val="009D2079"/>
    <w:rsid w:val="00A224FA"/>
    <w:rsid w:val="00A36392"/>
    <w:rsid w:val="00AC5ED5"/>
    <w:rsid w:val="00B03437"/>
    <w:rsid w:val="00B13115"/>
    <w:rsid w:val="00B34649"/>
    <w:rsid w:val="00B44BBB"/>
    <w:rsid w:val="00B75FCE"/>
    <w:rsid w:val="00C11E0A"/>
    <w:rsid w:val="00C25F8D"/>
    <w:rsid w:val="00C25FAA"/>
    <w:rsid w:val="00C365FC"/>
    <w:rsid w:val="00C87872"/>
    <w:rsid w:val="00D2320D"/>
    <w:rsid w:val="00D3527B"/>
    <w:rsid w:val="00D57818"/>
    <w:rsid w:val="00D76ACE"/>
    <w:rsid w:val="00D90B01"/>
    <w:rsid w:val="00E017B8"/>
    <w:rsid w:val="00E1608B"/>
    <w:rsid w:val="00E23BB9"/>
    <w:rsid w:val="00E33890"/>
    <w:rsid w:val="00E54431"/>
    <w:rsid w:val="00EA1328"/>
    <w:rsid w:val="00EB79CA"/>
    <w:rsid w:val="00EC6C07"/>
    <w:rsid w:val="00EE046E"/>
    <w:rsid w:val="00EE1B16"/>
    <w:rsid w:val="00F10F68"/>
    <w:rsid w:val="00F62D84"/>
    <w:rsid w:val="00FB103E"/>
    <w:rsid w:val="00FB4535"/>
    <w:rsid w:val="00FC3C54"/>
    <w:rsid w:val="00FE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9B0C7C"/>
  <w15:docId w15:val="{46829663-6E0B-45D3-B35F-795B72A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US" w:bidi="ar-SA"/>
      </w:rPr>
    </w:rPrDefault>
    <w:pPrDefault>
      <w:pPr>
        <w:spacing w:after="5" w:line="260" w:lineRule="auto"/>
        <w:ind w:left="369" w:right="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369"/>
    </w:pPr>
    <w:rPr>
      <w:color w:val="000000"/>
    </w:rPr>
  </w:style>
  <w:style w:type="paragraph" w:styleId="Heading1">
    <w:name w:val="heading 1"/>
    <w:next w:val="Normal"/>
    <w:link w:val="Heading1Char"/>
    <w:uiPriority w:val="9"/>
    <w:qFormat/>
    <w:pPr>
      <w:keepNext/>
      <w:keepLines/>
      <w:numPr>
        <w:numId w:val="1"/>
      </w:numPr>
      <w:spacing w:after="266"/>
      <w:ind w:left="10" w:hanging="10"/>
      <w:outlineLvl w:val="0"/>
    </w:pPr>
    <w:rPr>
      <w:b/>
      <w:color w:val="000000"/>
      <w:sz w:val="24"/>
    </w:rPr>
  </w:style>
  <w:style w:type="paragraph" w:styleId="Heading2">
    <w:name w:val="heading 2"/>
    <w:next w:val="Normal"/>
    <w:link w:val="Heading2Char"/>
    <w:uiPriority w:val="9"/>
    <w:semiHidden/>
    <w:unhideWhenUsed/>
    <w:qFormat/>
    <w:pPr>
      <w:keepNext/>
      <w:keepLines/>
      <w:numPr>
        <w:ilvl w:val="1"/>
        <w:numId w:val="1"/>
      </w:numPr>
      <w:spacing w:after="36" w:line="257" w:lineRule="auto"/>
      <w:ind w:left="10" w:hanging="10"/>
      <w:outlineLvl w:val="1"/>
    </w:pPr>
    <w:rPr>
      <w:b/>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Times New Roman" w:eastAsia="Times New Roman" w:hAnsi="Times New Roman" w:cs="Times New Roman"/>
      <w:b/>
      <w:i/>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qFormat/>
    <w:rsid w:val="00BD6E18"/>
    <w:pPr>
      <w:pBdr>
        <w:bottom w:val="single" w:sz="6" w:space="1" w:color="00000A"/>
      </w:pBdr>
      <w:suppressAutoHyphens/>
      <w:spacing w:after="120" w:line="228" w:lineRule="auto"/>
      <w:ind w:leftChars="-1" w:left="-1" w:right="0" w:hangingChars="1" w:hanging="1"/>
      <w:jc w:val="center"/>
      <w:textDirection w:val="btLr"/>
      <w:textAlignment w:val="top"/>
      <w:outlineLvl w:val="0"/>
    </w:pPr>
    <w:rPr>
      <w:rFonts w:eastAsia="SimSun"/>
      <w:color w:val="auto"/>
      <w:position w:val="-1"/>
      <w:sz w:val="18"/>
      <w:szCs w:val="18"/>
      <w:lang w:val="en-US" w:eastAsia="zh-CN"/>
    </w:rPr>
  </w:style>
  <w:style w:type="character" w:customStyle="1" w:styleId="HeaderChar">
    <w:name w:val="Header Char"/>
    <w:basedOn w:val="DefaultParagraphFont"/>
    <w:link w:val="Header"/>
    <w:uiPriority w:val="99"/>
    <w:rsid w:val="00BD6E18"/>
    <w:rPr>
      <w:rFonts w:ascii="Times New Roman" w:eastAsia="SimSun" w:hAnsi="Times New Roman" w:cs="Times New Roman"/>
      <w:position w:val="-1"/>
      <w:sz w:val="18"/>
      <w:szCs w:val="18"/>
      <w:lang w:val="en-US" w:eastAsia="zh-CN"/>
    </w:rPr>
  </w:style>
  <w:style w:type="paragraph" w:styleId="Footer">
    <w:name w:val="footer"/>
    <w:basedOn w:val="Normal"/>
    <w:link w:val="FooterChar"/>
    <w:qFormat/>
    <w:rsid w:val="00BD6E18"/>
    <w:pPr>
      <w:suppressAutoHyphens/>
      <w:spacing w:after="120" w:line="228" w:lineRule="auto"/>
      <w:ind w:leftChars="-1" w:left="-1" w:right="0" w:hangingChars="1" w:hanging="1"/>
      <w:jc w:val="left"/>
      <w:textDirection w:val="btLr"/>
      <w:textAlignment w:val="top"/>
      <w:outlineLvl w:val="0"/>
    </w:pPr>
    <w:rPr>
      <w:rFonts w:eastAsia="SimSun"/>
      <w:color w:val="auto"/>
      <w:position w:val="-1"/>
      <w:sz w:val="18"/>
      <w:szCs w:val="18"/>
      <w:lang w:val="en-US" w:eastAsia="zh-CN"/>
    </w:rPr>
  </w:style>
  <w:style w:type="character" w:customStyle="1" w:styleId="FooterChar">
    <w:name w:val="Footer Char"/>
    <w:basedOn w:val="DefaultParagraphFont"/>
    <w:link w:val="Footer"/>
    <w:rsid w:val="00BD6E18"/>
    <w:rPr>
      <w:rFonts w:ascii="Times New Roman" w:eastAsia="SimSun" w:hAnsi="Times New Roman" w:cs="Times New Roman"/>
      <w:position w:val="-1"/>
      <w:sz w:val="18"/>
      <w:szCs w:val="18"/>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0B01"/>
    <w:rPr>
      <w:color w:val="0563C1" w:themeColor="hyperlink"/>
      <w:u w:val="single"/>
    </w:rPr>
  </w:style>
  <w:style w:type="character" w:styleId="UnresolvedMention">
    <w:name w:val="Unresolved Mention"/>
    <w:basedOn w:val="DefaultParagraphFont"/>
    <w:uiPriority w:val="99"/>
    <w:semiHidden/>
    <w:unhideWhenUsed/>
    <w:rsid w:val="00D90B01"/>
    <w:rPr>
      <w:color w:val="605E5C"/>
      <w:shd w:val="clear" w:color="auto" w:fill="E1DFDD"/>
    </w:rPr>
  </w:style>
  <w:style w:type="paragraph" w:customStyle="1" w:styleId="Default">
    <w:name w:val="Default"/>
    <w:rsid w:val="00614E35"/>
    <w:pPr>
      <w:autoSpaceDE w:val="0"/>
      <w:autoSpaceDN w:val="0"/>
      <w:adjustRightInd w:val="0"/>
      <w:spacing w:after="0" w:line="240" w:lineRule="auto"/>
      <w:ind w:left="0" w:right="0"/>
      <w:jc w:val="left"/>
    </w:pPr>
    <w:rPr>
      <w:rFonts w:eastAsia="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llyzar@unima.ac.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208\Documents\data%20grafik.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id-ID" sz="1200" b="0" i="0" u="none" strike="noStrike" baseline="0">
                <a:effectLst/>
              </a:rPr>
              <a:t>Instrument Content Validation Results</a:t>
            </a:r>
            <a:endParaRPr lang="en-US" sz="1200" b="0">
              <a:latin typeface="Times New Roman" pitchFamily="18" charset="0"/>
              <a:cs typeface="Times New Roman" pitchFamily="18" charset="0"/>
            </a:endParaRPr>
          </a:p>
        </c:rich>
      </c:tx>
      <c:layout>
        <c:manualLayout>
          <c:xMode val="edge"/>
          <c:yMode val="edge"/>
          <c:x val="0.28530661809350333"/>
          <c:y val="4.0434672731867578E-2"/>
        </c:manualLayout>
      </c:layout>
      <c:overlay val="1"/>
    </c:title>
    <c:autoTitleDeleted val="0"/>
    <c:plotArea>
      <c:layout/>
      <c:barChart>
        <c:barDir val="col"/>
        <c:grouping val="clustered"/>
        <c:varyColors val="1"/>
        <c:ser>
          <c:idx val="0"/>
          <c:order val="0"/>
          <c:tx>
            <c:strRef>
              <c:f>Sheet5!$B$1</c:f>
              <c:strCache>
                <c:ptCount val="1"/>
                <c:pt idx="0">
                  <c:v>Index Aiken</c:v>
                </c:pt>
              </c:strCache>
            </c:strRef>
          </c:tx>
          <c:invertIfNegative val="1"/>
          <c:val>
            <c:numRef>
              <c:f>Sheet5!$B$2:$B$27</c:f>
              <c:numCache>
                <c:formatCode>General</c:formatCode>
                <c:ptCount val="26"/>
                <c:pt idx="1">
                  <c:v>0.93</c:v>
                </c:pt>
                <c:pt idx="2">
                  <c:v>0.86</c:v>
                </c:pt>
                <c:pt idx="3">
                  <c:v>0.93</c:v>
                </c:pt>
                <c:pt idx="4">
                  <c:v>0.86</c:v>
                </c:pt>
                <c:pt idx="5">
                  <c:v>0.93</c:v>
                </c:pt>
                <c:pt idx="6">
                  <c:v>0.86</c:v>
                </c:pt>
                <c:pt idx="7">
                  <c:v>0.93</c:v>
                </c:pt>
                <c:pt idx="8">
                  <c:v>0.93</c:v>
                </c:pt>
                <c:pt idx="9">
                  <c:v>0.86</c:v>
                </c:pt>
                <c:pt idx="10">
                  <c:v>0.86</c:v>
                </c:pt>
                <c:pt idx="11">
                  <c:v>0.86</c:v>
                </c:pt>
                <c:pt idx="12">
                  <c:v>0.93</c:v>
                </c:pt>
                <c:pt idx="13">
                  <c:v>0.93</c:v>
                </c:pt>
                <c:pt idx="14">
                  <c:v>1</c:v>
                </c:pt>
                <c:pt idx="15">
                  <c:v>0.86</c:v>
                </c:pt>
                <c:pt idx="16">
                  <c:v>1</c:v>
                </c:pt>
                <c:pt idx="17">
                  <c:v>1</c:v>
                </c:pt>
                <c:pt idx="18">
                  <c:v>0.86</c:v>
                </c:pt>
                <c:pt idx="19">
                  <c:v>0.93</c:v>
                </c:pt>
                <c:pt idx="20">
                  <c:v>0.86</c:v>
                </c:pt>
                <c:pt idx="21">
                  <c:v>0.86</c:v>
                </c:pt>
                <c:pt idx="22">
                  <c:v>0.86</c:v>
                </c:pt>
                <c:pt idx="23">
                  <c:v>1</c:v>
                </c:pt>
                <c:pt idx="24">
                  <c:v>0.93</c:v>
                </c:pt>
                <c:pt idx="25">
                  <c:v>0.86</c:v>
                </c:pt>
              </c:numCache>
            </c:numRef>
          </c:val>
          <c:extLst>
            <c:ext xmlns:c16="http://schemas.microsoft.com/office/drawing/2014/chart" uri="{C3380CC4-5D6E-409C-BE32-E72D297353CC}">
              <c16:uniqueId val="{00000000-5B35-443E-9203-E97E2B8B7F7A}"/>
            </c:ext>
          </c:extLst>
        </c:ser>
        <c:dLbls>
          <c:showLegendKey val="0"/>
          <c:showVal val="0"/>
          <c:showCatName val="0"/>
          <c:showSerName val="0"/>
          <c:showPercent val="0"/>
          <c:showBubbleSize val="0"/>
        </c:dLbls>
        <c:gapWidth val="150"/>
        <c:axId val="290861208"/>
        <c:axId val="290861600"/>
      </c:barChart>
      <c:catAx>
        <c:axId val="290861208"/>
        <c:scaling>
          <c:orientation val="minMax"/>
        </c:scaling>
        <c:delete val="0"/>
        <c:axPos val="b"/>
        <c:title>
          <c:tx>
            <c:rich>
              <a:bodyPr/>
              <a:lstStyle/>
              <a:p>
                <a:pPr>
                  <a:defRPr/>
                </a:pPr>
                <a:r>
                  <a:rPr lang="en-US"/>
                  <a:t>Item</a:t>
                </a:r>
                <a:endParaRPr lang="id-ID"/>
              </a:p>
            </c:rich>
          </c:tx>
          <c:layout>
            <c:manualLayout>
              <c:xMode val="edge"/>
              <c:yMode val="edge"/>
              <c:x val="0.55979949227658021"/>
              <c:y val="0.86755097614314514"/>
            </c:manualLayout>
          </c:layout>
          <c:overlay val="0"/>
        </c:title>
        <c:majorTickMark val="out"/>
        <c:minorTickMark val="cross"/>
        <c:tickLblPos val="nextTo"/>
        <c:crossAx val="290861600"/>
        <c:crosses val="autoZero"/>
        <c:auto val="1"/>
        <c:lblAlgn val="ctr"/>
        <c:lblOffset val="100"/>
        <c:noMultiLvlLbl val="1"/>
      </c:catAx>
      <c:valAx>
        <c:axId val="290861600"/>
        <c:scaling>
          <c:orientation val="minMax"/>
        </c:scaling>
        <c:delete val="0"/>
        <c:axPos val="l"/>
        <c:majorGridlines/>
        <c:title>
          <c:tx>
            <c:rich>
              <a:bodyPr/>
              <a:lstStyle/>
              <a:p>
                <a:pPr>
                  <a:defRPr/>
                </a:pPr>
                <a:r>
                  <a:rPr lang="en-US"/>
                  <a:t>Aiken's</a:t>
                </a:r>
                <a:r>
                  <a:rPr lang="en-US" baseline="0"/>
                  <a:t> Index</a:t>
                </a:r>
                <a:endParaRPr lang="id-ID"/>
              </a:p>
            </c:rich>
          </c:tx>
          <c:overlay val="0"/>
        </c:title>
        <c:numFmt formatCode="General" sourceLinked="1"/>
        <c:majorTickMark val="out"/>
        <c:minorTickMark val="cross"/>
        <c:tickLblPos val="nextTo"/>
        <c:crossAx val="290861208"/>
        <c:crosses val="autoZero"/>
        <c:crossBetween val="between"/>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US" sz="1200"/>
              <a:t>Difficulty Level</a:t>
            </a:r>
          </a:p>
        </c:rich>
      </c:tx>
      <c:overlay val="0"/>
    </c:title>
    <c:autoTitleDeleted val="0"/>
    <c:plotArea>
      <c:layout/>
      <c:barChart>
        <c:barDir val="col"/>
        <c:grouping val="clustered"/>
        <c:varyColors val="1"/>
        <c:ser>
          <c:idx val="0"/>
          <c:order val="0"/>
          <c:tx>
            <c:strRef>
              <c:f>Sheet10!$B$1</c:f>
              <c:strCache>
                <c:ptCount val="1"/>
                <c:pt idx="0">
                  <c:v>Tingkat Kesukaran</c:v>
                </c:pt>
              </c:strCache>
            </c:strRef>
          </c:tx>
          <c:invertIfNegative val="1"/>
          <c:val>
            <c:numRef>
              <c:f>Sheet10!$B$2:$B$26</c:f>
              <c:numCache>
                <c:formatCode>General</c:formatCode>
                <c:ptCount val="25"/>
                <c:pt idx="0">
                  <c:v>0.9</c:v>
                </c:pt>
                <c:pt idx="1">
                  <c:v>0.83</c:v>
                </c:pt>
                <c:pt idx="2">
                  <c:v>0.6</c:v>
                </c:pt>
                <c:pt idx="3">
                  <c:v>0.52</c:v>
                </c:pt>
                <c:pt idx="4">
                  <c:v>0.44</c:v>
                </c:pt>
                <c:pt idx="5">
                  <c:v>0.27</c:v>
                </c:pt>
                <c:pt idx="6">
                  <c:v>0.27</c:v>
                </c:pt>
                <c:pt idx="7">
                  <c:v>0.18</c:v>
                </c:pt>
                <c:pt idx="8">
                  <c:v>0.18</c:v>
                </c:pt>
                <c:pt idx="9">
                  <c:v>0.18</c:v>
                </c:pt>
                <c:pt idx="10">
                  <c:v>0.09</c:v>
                </c:pt>
                <c:pt idx="11">
                  <c:v>0.09</c:v>
                </c:pt>
                <c:pt idx="12">
                  <c:v>0.09</c:v>
                </c:pt>
                <c:pt idx="13">
                  <c:v>-0.01</c:v>
                </c:pt>
                <c:pt idx="14">
                  <c:v>-0.11</c:v>
                </c:pt>
                <c:pt idx="15">
                  <c:v>-0.11</c:v>
                </c:pt>
                <c:pt idx="16">
                  <c:v>-0.11</c:v>
                </c:pt>
                <c:pt idx="17">
                  <c:v>-0.22</c:v>
                </c:pt>
                <c:pt idx="18">
                  <c:v>-0.34</c:v>
                </c:pt>
                <c:pt idx="19">
                  <c:v>-0.46</c:v>
                </c:pt>
                <c:pt idx="20">
                  <c:v>-0.46</c:v>
                </c:pt>
                <c:pt idx="21">
                  <c:v>-0.46</c:v>
                </c:pt>
                <c:pt idx="22">
                  <c:v>-0.74</c:v>
                </c:pt>
                <c:pt idx="23">
                  <c:v>-0.74</c:v>
                </c:pt>
                <c:pt idx="24">
                  <c:v>-0.9</c:v>
                </c:pt>
              </c:numCache>
            </c:numRef>
          </c:val>
          <c:extLst>
            <c:ext xmlns:c16="http://schemas.microsoft.com/office/drawing/2014/chart" uri="{C3380CC4-5D6E-409C-BE32-E72D297353CC}">
              <c16:uniqueId val="{00000000-EB69-4961-B885-B88F4D0AEAD7}"/>
            </c:ext>
          </c:extLst>
        </c:ser>
        <c:dLbls>
          <c:showLegendKey val="0"/>
          <c:showVal val="0"/>
          <c:showCatName val="0"/>
          <c:showSerName val="0"/>
          <c:showPercent val="0"/>
          <c:showBubbleSize val="0"/>
        </c:dLbls>
        <c:gapWidth val="150"/>
        <c:axId val="470393784"/>
        <c:axId val="470394176"/>
      </c:barChart>
      <c:catAx>
        <c:axId val="470393784"/>
        <c:scaling>
          <c:orientation val="minMax"/>
        </c:scaling>
        <c:delete val="0"/>
        <c:axPos val="b"/>
        <c:title>
          <c:tx>
            <c:rich>
              <a:bodyPr/>
              <a:lstStyle/>
              <a:p>
                <a:pPr>
                  <a:defRPr/>
                </a:pPr>
                <a:r>
                  <a:rPr lang="en-US"/>
                  <a:t>Items</a:t>
                </a:r>
                <a:endParaRPr lang="id-ID"/>
              </a:p>
            </c:rich>
          </c:tx>
          <c:overlay val="0"/>
        </c:title>
        <c:majorTickMark val="out"/>
        <c:minorTickMark val="cross"/>
        <c:tickLblPos val="nextTo"/>
        <c:crossAx val="470394176"/>
        <c:crosses val="autoZero"/>
        <c:auto val="1"/>
        <c:lblAlgn val="ctr"/>
        <c:lblOffset val="100"/>
        <c:noMultiLvlLbl val="1"/>
      </c:catAx>
      <c:valAx>
        <c:axId val="470394176"/>
        <c:scaling>
          <c:orientation val="minMax"/>
        </c:scaling>
        <c:delete val="0"/>
        <c:axPos val="l"/>
        <c:majorGridlines/>
        <c:title>
          <c:tx>
            <c:rich>
              <a:bodyPr/>
              <a:lstStyle/>
              <a:p>
                <a:pPr>
                  <a:defRPr/>
                </a:pPr>
                <a:r>
                  <a:rPr lang="en-US"/>
                  <a:t>Difficulty  Value</a:t>
                </a:r>
                <a:endParaRPr lang="id-ID"/>
              </a:p>
            </c:rich>
          </c:tx>
          <c:overlay val="0"/>
        </c:title>
        <c:numFmt formatCode="General" sourceLinked="1"/>
        <c:majorTickMark val="out"/>
        <c:minorTickMark val="cross"/>
        <c:tickLblPos val="nextTo"/>
        <c:crossAx val="470393784"/>
        <c:crosses val="autoZero"/>
        <c:crossBetween val="between"/>
      </c:valAx>
    </c:plotArea>
    <c:plotVisOnly val="1"/>
    <c:dispBlanksAs val="zero"/>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DgMewNmynHB8/5RlxfshDmaew==">AMUW2mU1aoLu9gzER6gijKh3wR/61Z6Llfj+jvxhIFf5O/S0zX988K6oW1Vk67WoyzhAJm/KiNO2cufn98ujtdgrX27+m6GCSs+2qJ+31lYJy8du2aslszhAaBEvGj34YJi+7oK8iAmsYxIslyh1edajCgQ9YdMeLQ==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17669</Words>
  <Characters>100718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 et al.</dc:creator>
  <cp:lastModifiedBy>mulywan riska</cp:lastModifiedBy>
  <cp:revision>89</cp:revision>
  <dcterms:created xsi:type="dcterms:W3CDTF">2023-01-08T00:58:00Z</dcterms:created>
  <dcterms:modified xsi:type="dcterms:W3CDTF">2023-01-11T23:10:00Z</dcterms:modified>
</cp:coreProperties>
</file>